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26D4" w14:textId="29BD7893" w:rsidR="00021BC2" w:rsidRPr="000B67FD" w:rsidRDefault="00021BC2" w:rsidP="00AE71F3">
      <w:pPr>
        <w:widowControl w:val="0"/>
        <w:spacing w:after="0" w:line="260" w:lineRule="exact"/>
        <w:rPr>
          <w:rFonts w:cstheme="minorHAnsi"/>
          <w:b/>
          <w:sz w:val="24"/>
          <w:szCs w:val="24"/>
        </w:rPr>
      </w:pPr>
      <w:r w:rsidRPr="000B67FD">
        <w:rPr>
          <w:rFonts w:cstheme="minorHAnsi"/>
          <w:b/>
          <w:sz w:val="24"/>
          <w:szCs w:val="24"/>
          <w:u w:val="single"/>
        </w:rPr>
        <w:t xml:space="preserve">1. PROJECT AREA DESCRIPTION </w:t>
      </w:r>
      <w:r w:rsidR="00C212F7" w:rsidRPr="000B67FD">
        <w:rPr>
          <w:rFonts w:cstheme="minorHAnsi"/>
          <w:b/>
          <w:sz w:val="24"/>
          <w:szCs w:val="24"/>
          <w:u w:val="single"/>
        </w:rPr>
        <w:t xml:space="preserve">&amp; </w:t>
      </w:r>
      <w:r w:rsidRPr="000B67FD">
        <w:rPr>
          <w:rFonts w:cstheme="minorHAnsi"/>
          <w:b/>
          <w:sz w:val="24"/>
          <w:szCs w:val="24"/>
          <w:u w:val="single"/>
        </w:rPr>
        <w:t>PLANS FOR REVITALIZATION</w:t>
      </w:r>
      <w:r w:rsidR="00CB791B" w:rsidRPr="000B67FD">
        <w:rPr>
          <w:rFonts w:cstheme="minorHAnsi"/>
          <w:b/>
          <w:sz w:val="24"/>
          <w:szCs w:val="24"/>
        </w:rPr>
        <w:t xml:space="preserve">: </w:t>
      </w:r>
    </w:p>
    <w:p w14:paraId="58A100AE" w14:textId="32F113B7" w:rsidR="00093325" w:rsidRPr="000B67FD" w:rsidRDefault="00021BC2" w:rsidP="66634F82">
      <w:pPr>
        <w:widowControl w:val="0"/>
        <w:spacing w:before="60" w:after="0" w:line="240" w:lineRule="exact"/>
        <w:rPr>
          <w:sz w:val="24"/>
          <w:szCs w:val="24"/>
        </w:rPr>
      </w:pPr>
      <w:r w:rsidRPr="66634F82">
        <w:rPr>
          <w:b/>
          <w:bCs/>
          <w:sz w:val="24"/>
          <w:szCs w:val="24"/>
          <w:u w:val="single"/>
        </w:rPr>
        <w:t xml:space="preserve">Target Area </w:t>
      </w:r>
      <w:r w:rsidR="00981A5A" w:rsidRPr="66634F82">
        <w:rPr>
          <w:b/>
          <w:bCs/>
          <w:sz w:val="24"/>
          <w:szCs w:val="24"/>
          <w:u w:val="single"/>
        </w:rPr>
        <w:t xml:space="preserve">and </w:t>
      </w:r>
      <w:r w:rsidRPr="66634F82">
        <w:rPr>
          <w:b/>
          <w:bCs/>
          <w:sz w:val="24"/>
          <w:szCs w:val="24"/>
          <w:u w:val="single"/>
        </w:rPr>
        <w:t>Brownfields</w:t>
      </w:r>
      <w:r w:rsidR="00CB791B" w:rsidRPr="66634F82">
        <w:rPr>
          <w:b/>
          <w:bCs/>
          <w:sz w:val="24"/>
          <w:szCs w:val="24"/>
        </w:rPr>
        <w:t xml:space="preserve">: </w:t>
      </w:r>
      <w:r w:rsidR="00C212F7" w:rsidRPr="66634F82">
        <w:rPr>
          <w:b/>
          <w:bCs/>
          <w:sz w:val="24"/>
          <w:szCs w:val="24"/>
          <w:u w:val="single"/>
        </w:rPr>
        <w:t>1.a</w:t>
      </w:r>
      <w:r w:rsidR="00B22F38" w:rsidRPr="66634F82">
        <w:rPr>
          <w:b/>
          <w:bCs/>
          <w:sz w:val="24"/>
          <w:szCs w:val="24"/>
          <w:u w:val="single"/>
        </w:rPr>
        <w:t>.</w:t>
      </w:r>
      <w:r w:rsidR="00C212F7" w:rsidRPr="66634F82">
        <w:rPr>
          <w:b/>
          <w:bCs/>
          <w:sz w:val="24"/>
          <w:szCs w:val="24"/>
          <w:u w:val="single"/>
        </w:rPr>
        <w:t xml:space="preserve"> </w:t>
      </w:r>
      <w:r w:rsidR="00981A5A" w:rsidRPr="66634F82">
        <w:rPr>
          <w:b/>
          <w:bCs/>
          <w:sz w:val="24"/>
          <w:szCs w:val="24"/>
          <w:u w:val="single"/>
        </w:rPr>
        <w:t xml:space="preserve">Overview of Brownfield Challenges and </w:t>
      </w:r>
      <w:r w:rsidRPr="66634F82">
        <w:rPr>
          <w:b/>
          <w:bCs/>
          <w:sz w:val="24"/>
          <w:szCs w:val="24"/>
          <w:u w:val="single"/>
        </w:rPr>
        <w:t>Description of Target Area</w:t>
      </w:r>
      <w:r w:rsidR="00CB791B" w:rsidRPr="66634F82">
        <w:rPr>
          <w:b/>
          <w:bCs/>
          <w:sz w:val="24"/>
          <w:szCs w:val="24"/>
          <w:u w:val="single"/>
        </w:rPr>
        <w:t>:</w:t>
      </w:r>
      <w:r w:rsidR="006C2E6C" w:rsidRPr="66634F82">
        <w:rPr>
          <w:sz w:val="24"/>
          <w:szCs w:val="24"/>
        </w:rPr>
        <w:t xml:space="preserve"> </w:t>
      </w:r>
      <w:r w:rsidR="00373B2A" w:rsidRPr="66634F82">
        <w:rPr>
          <w:sz w:val="24"/>
          <w:szCs w:val="24"/>
        </w:rPr>
        <w:t xml:space="preserve">The </w:t>
      </w:r>
      <w:proofErr w:type="spellStart"/>
      <w:r w:rsidR="496E1BFD" w:rsidRPr="66634F82">
        <w:rPr>
          <w:b/>
          <w:bCs/>
          <w:i/>
          <w:iCs/>
          <w:sz w:val="24"/>
          <w:szCs w:val="24"/>
        </w:rPr>
        <w:t>tumwata</w:t>
      </w:r>
      <w:proofErr w:type="spellEnd"/>
      <w:r w:rsidR="496E1BFD" w:rsidRPr="66634F82">
        <w:rPr>
          <w:b/>
          <w:bCs/>
          <w:i/>
          <w:iCs/>
          <w:sz w:val="24"/>
          <w:szCs w:val="24"/>
        </w:rPr>
        <w:t xml:space="preserve"> village</w:t>
      </w:r>
      <w:r w:rsidR="496E1BFD" w:rsidRPr="66634F82">
        <w:rPr>
          <w:sz w:val="24"/>
          <w:szCs w:val="24"/>
        </w:rPr>
        <w:t xml:space="preserve"> (</w:t>
      </w:r>
      <w:r w:rsidR="00373B2A" w:rsidRPr="66634F82">
        <w:rPr>
          <w:b/>
          <w:bCs/>
          <w:sz w:val="24"/>
          <w:szCs w:val="24"/>
        </w:rPr>
        <w:t>former</w:t>
      </w:r>
      <w:r w:rsidR="00373B2A" w:rsidRPr="66634F82">
        <w:rPr>
          <w:sz w:val="24"/>
          <w:szCs w:val="24"/>
        </w:rPr>
        <w:t xml:space="preserve"> </w:t>
      </w:r>
      <w:r w:rsidR="00373B2A" w:rsidRPr="66634F82">
        <w:rPr>
          <w:b/>
          <w:bCs/>
          <w:sz w:val="24"/>
          <w:szCs w:val="24"/>
        </w:rPr>
        <w:t>Blue Heron Paper Mill</w:t>
      </w:r>
      <w:r w:rsidR="5537E391" w:rsidRPr="66634F82">
        <w:rPr>
          <w:b/>
          <w:bCs/>
          <w:sz w:val="24"/>
          <w:szCs w:val="24"/>
        </w:rPr>
        <w:t xml:space="preserve"> or</w:t>
      </w:r>
      <w:r w:rsidR="00373B2A" w:rsidRPr="66634F82">
        <w:rPr>
          <w:b/>
          <w:bCs/>
          <w:sz w:val="24"/>
          <w:szCs w:val="24"/>
        </w:rPr>
        <w:t xml:space="preserve"> Site)</w:t>
      </w:r>
      <w:r w:rsidR="00373B2A" w:rsidRPr="66634F82">
        <w:rPr>
          <w:sz w:val="24"/>
          <w:szCs w:val="24"/>
        </w:rPr>
        <w:t xml:space="preserve"> in historic Oregon City</w:t>
      </w:r>
      <w:r w:rsidR="00EF253D" w:rsidRPr="66634F82">
        <w:rPr>
          <w:sz w:val="24"/>
          <w:szCs w:val="24"/>
        </w:rPr>
        <w:t>, Oregon</w:t>
      </w:r>
      <w:r w:rsidR="004B2BDD" w:rsidRPr="66634F82">
        <w:rPr>
          <w:sz w:val="24"/>
          <w:szCs w:val="24"/>
        </w:rPr>
        <w:t xml:space="preserve"> (pop. 37,5</w:t>
      </w:r>
      <w:r w:rsidR="00386E43" w:rsidRPr="66634F82">
        <w:rPr>
          <w:sz w:val="24"/>
          <w:szCs w:val="24"/>
        </w:rPr>
        <w:t>72)</w:t>
      </w:r>
      <w:r w:rsidR="00373B2A" w:rsidRPr="66634F82">
        <w:rPr>
          <w:sz w:val="24"/>
          <w:szCs w:val="24"/>
        </w:rPr>
        <w:t xml:space="preserve"> </w:t>
      </w:r>
      <w:r w:rsidR="00AA2AA3" w:rsidRPr="66634F82">
        <w:rPr>
          <w:sz w:val="24"/>
          <w:szCs w:val="24"/>
        </w:rPr>
        <w:t>is</w:t>
      </w:r>
      <w:r w:rsidR="00660916" w:rsidRPr="66634F82">
        <w:rPr>
          <w:sz w:val="24"/>
          <w:szCs w:val="24"/>
        </w:rPr>
        <w:t xml:space="preserve"> one of </w:t>
      </w:r>
      <w:r w:rsidR="00AF208C" w:rsidRPr="66634F82">
        <w:rPr>
          <w:sz w:val="24"/>
          <w:szCs w:val="24"/>
        </w:rPr>
        <w:t>the state’s</w:t>
      </w:r>
      <w:r w:rsidR="00660916" w:rsidRPr="66634F82">
        <w:rPr>
          <w:sz w:val="24"/>
          <w:szCs w:val="24"/>
        </w:rPr>
        <w:t xml:space="preserve"> most significant and anticipated brownfield redevelopment opportunities. This 23-acre </w:t>
      </w:r>
      <w:r w:rsidR="00973DA8" w:rsidRPr="66634F82">
        <w:rPr>
          <w:sz w:val="24"/>
          <w:szCs w:val="24"/>
        </w:rPr>
        <w:t>vacant</w:t>
      </w:r>
      <w:r w:rsidR="00660916" w:rsidRPr="66634F82">
        <w:rPr>
          <w:sz w:val="24"/>
          <w:szCs w:val="24"/>
        </w:rPr>
        <w:t xml:space="preserve"> </w:t>
      </w:r>
      <w:r w:rsidR="00973DA8" w:rsidRPr="66634F82">
        <w:rPr>
          <w:sz w:val="24"/>
          <w:szCs w:val="24"/>
        </w:rPr>
        <w:t>paper mill</w:t>
      </w:r>
      <w:r w:rsidR="00660916" w:rsidRPr="66634F82">
        <w:rPr>
          <w:sz w:val="24"/>
          <w:szCs w:val="24"/>
        </w:rPr>
        <w:t xml:space="preserve"> </w:t>
      </w:r>
      <w:r w:rsidR="00973DA8" w:rsidRPr="66634F82">
        <w:rPr>
          <w:sz w:val="24"/>
          <w:szCs w:val="24"/>
        </w:rPr>
        <w:t>sits on a rocky outcrop in</w:t>
      </w:r>
      <w:r w:rsidR="00005D69" w:rsidRPr="66634F82">
        <w:rPr>
          <w:sz w:val="24"/>
          <w:szCs w:val="24"/>
        </w:rPr>
        <w:t xml:space="preserve"> </w:t>
      </w:r>
      <w:r w:rsidR="00660916" w:rsidRPr="66634F82">
        <w:rPr>
          <w:sz w:val="24"/>
          <w:szCs w:val="24"/>
        </w:rPr>
        <w:t xml:space="preserve">the Willamette River adjacent to Willamette Falls—the second largest waterfall by volume in the </w:t>
      </w:r>
      <w:r w:rsidR="0011690F" w:rsidRPr="66634F82">
        <w:rPr>
          <w:sz w:val="24"/>
          <w:szCs w:val="24"/>
        </w:rPr>
        <w:t>U.S.</w:t>
      </w:r>
      <w:r w:rsidR="00660916" w:rsidRPr="66634F82">
        <w:rPr>
          <w:sz w:val="24"/>
          <w:szCs w:val="24"/>
        </w:rPr>
        <w:t xml:space="preserve"> and a place of deep cultural and ecological importance. </w:t>
      </w:r>
      <w:r w:rsidR="00093325" w:rsidRPr="66634F82">
        <w:rPr>
          <w:sz w:val="24"/>
          <w:szCs w:val="24"/>
        </w:rPr>
        <w:t xml:space="preserve">The Site anchors the southern end of </w:t>
      </w:r>
      <w:r w:rsidR="00924B19" w:rsidRPr="66634F82">
        <w:rPr>
          <w:b/>
          <w:bCs/>
          <w:sz w:val="24"/>
          <w:szCs w:val="24"/>
        </w:rPr>
        <w:t xml:space="preserve">downtown Oregon City </w:t>
      </w:r>
      <w:r w:rsidR="0054388B" w:rsidRPr="66634F82">
        <w:rPr>
          <w:b/>
          <w:bCs/>
          <w:sz w:val="24"/>
          <w:szCs w:val="24"/>
        </w:rPr>
        <w:t>(Target Area)</w:t>
      </w:r>
      <w:r w:rsidR="0054388B" w:rsidRPr="66634F82">
        <w:rPr>
          <w:sz w:val="24"/>
          <w:szCs w:val="24"/>
        </w:rPr>
        <w:t xml:space="preserve"> </w:t>
      </w:r>
      <w:r w:rsidR="00924B19" w:rsidRPr="66634F82">
        <w:rPr>
          <w:sz w:val="24"/>
          <w:szCs w:val="24"/>
        </w:rPr>
        <w:t>which extends</w:t>
      </w:r>
      <w:r w:rsidR="00311F10" w:rsidRPr="66634F82">
        <w:rPr>
          <w:sz w:val="24"/>
          <w:szCs w:val="24"/>
        </w:rPr>
        <w:t xml:space="preserve"> approximately one mile</w:t>
      </w:r>
      <w:r w:rsidR="00924B19" w:rsidRPr="66634F82">
        <w:rPr>
          <w:sz w:val="24"/>
          <w:szCs w:val="24"/>
        </w:rPr>
        <w:t xml:space="preserve"> north</w:t>
      </w:r>
      <w:r w:rsidR="00815502" w:rsidRPr="66634F82">
        <w:rPr>
          <w:sz w:val="24"/>
          <w:szCs w:val="24"/>
        </w:rPr>
        <w:t xml:space="preserve"> of the Site</w:t>
      </w:r>
      <w:r w:rsidR="00924B19" w:rsidRPr="66634F82">
        <w:rPr>
          <w:sz w:val="24"/>
          <w:szCs w:val="24"/>
        </w:rPr>
        <w:t xml:space="preserve"> along the river</w:t>
      </w:r>
      <w:r w:rsidR="00815502" w:rsidRPr="66634F82">
        <w:rPr>
          <w:sz w:val="24"/>
          <w:szCs w:val="24"/>
        </w:rPr>
        <w:t>, centered on historic Main Street</w:t>
      </w:r>
      <w:r w:rsidR="00924B19" w:rsidRPr="66634F82">
        <w:rPr>
          <w:sz w:val="24"/>
          <w:szCs w:val="24"/>
        </w:rPr>
        <w:t xml:space="preserve">. </w:t>
      </w:r>
    </w:p>
    <w:p w14:paraId="207D0BA2" w14:textId="53733F55" w:rsidR="00D66162" w:rsidRPr="000B67FD" w:rsidRDefault="009B29BC" w:rsidP="009B29BC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</w:rPr>
        <w:t xml:space="preserve">For centuries, the Site and Target Area </w:t>
      </w:r>
      <w:r w:rsidR="0087436B" w:rsidRPr="000B67FD">
        <w:rPr>
          <w:rFonts w:cstheme="minorHAnsi"/>
          <w:bCs/>
          <w:sz w:val="24"/>
          <w:szCs w:val="24"/>
        </w:rPr>
        <w:t>were</w:t>
      </w:r>
      <w:r w:rsidRPr="000B67FD">
        <w:rPr>
          <w:rFonts w:cstheme="minorHAnsi"/>
          <w:bCs/>
          <w:sz w:val="24"/>
          <w:szCs w:val="24"/>
        </w:rPr>
        <w:t xml:space="preserve"> a</w:t>
      </w:r>
      <w:r w:rsidR="00DF3469" w:rsidRPr="000B67FD">
        <w:rPr>
          <w:rFonts w:cstheme="minorHAnsi"/>
          <w:bCs/>
          <w:sz w:val="24"/>
          <w:szCs w:val="24"/>
        </w:rPr>
        <w:t xml:space="preserve"> tribal </w:t>
      </w:r>
      <w:r w:rsidRPr="000B67FD">
        <w:rPr>
          <w:rFonts w:cstheme="minorHAnsi"/>
          <w:bCs/>
          <w:sz w:val="24"/>
          <w:szCs w:val="24"/>
        </w:rPr>
        <w:t xml:space="preserve">gathering place. In the 1800s, Oregon City </w:t>
      </w:r>
      <w:r w:rsidR="00DF248E" w:rsidRPr="000B67FD">
        <w:rPr>
          <w:rFonts w:cstheme="minorHAnsi"/>
          <w:bCs/>
          <w:sz w:val="24"/>
          <w:szCs w:val="24"/>
        </w:rPr>
        <w:t>was</w:t>
      </w:r>
      <w:r w:rsidRPr="000B67FD">
        <w:rPr>
          <w:rFonts w:cstheme="minorHAnsi"/>
          <w:bCs/>
          <w:sz w:val="24"/>
          <w:szCs w:val="24"/>
        </w:rPr>
        <w:t xml:space="preserve"> the western terminus of the Oregon Trail</w:t>
      </w:r>
      <w:r w:rsidR="00AB2F5F" w:rsidRPr="000B67FD">
        <w:rPr>
          <w:rFonts w:cstheme="minorHAnsi"/>
          <w:bCs/>
          <w:sz w:val="24"/>
          <w:szCs w:val="24"/>
        </w:rPr>
        <w:t xml:space="preserve">, </w:t>
      </w:r>
      <w:r w:rsidRPr="000B67FD">
        <w:rPr>
          <w:rFonts w:cstheme="minorHAnsi"/>
          <w:bCs/>
          <w:sz w:val="24"/>
          <w:szCs w:val="24"/>
        </w:rPr>
        <w:t>the first incorporated city west of the Rockies, and capital of the Oregon Territory. The hydropower of Willamette Falls powered 19th-century wool</w:t>
      </w:r>
      <w:r w:rsidR="006C4A69" w:rsidRPr="000B67FD">
        <w:rPr>
          <w:rFonts w:cstheme="minorHAnsi"/>
          <w:bCs/>
          <w:sz w:val="24"/>
          <w:szCs w:val="24"/>
        </w:rPr>
        <w:t>,</w:t>
      </w:r>
      <w:r w:rsidRPr="000B67FD">
        <w:rPr>
          <w:rFonts w:cstheme="minorHAnsi"/>
          <w:bCs/>
          <w:sz w:val="24"/>
          <w:szCs w:val="24"/>
        </w:rPr>
        <w:t xml:space="preserve"> flour</w:t>
      </w:r>
      <w:r w:rsidR="006C4A69" w:rsidRPr="000B67FD">
        <w:rPr>
          <w:rFonts w:cstheme="minorHAnsi"/>
          <w:bCs/>
          <w:sz w:val="24"/>
          <w:szCs w:val="24"/>
        </w:rPr>
        <w:t>, and</w:t>
      </w:r>
      <w:r w:rsidRPr="000B67FD">
        <w:rPr>
          <w:rFonts w:cstheme="minorHAnsi"/>
          <w:bCs/>
          <w:sz w:val="24"/>
          <w:szCs w:val="24"/>
        </w:rPr>
        <w:t xml:space="preserve"> paper mills, tanneries, and dye works in the Target Area.</w:t>
      </w:r>
      <w:r w:rsidR="00E37D17" w:rsidRPr="000B67FD">
        <w:rPr>
          <w:rFonts w:cstheme="minorHAnsi"/>
          <w:bCs/>
          <w:sz w:val="24"/>
          <w:szCs w:val="24"/>
        </w:rPr>
        <w:t xml:space="preserve"> </w:t>
      </w:r>
      <w:r w:rsidRPr="000B67FD">
        <w:rPr>
          <w:rFonts w:cstheme="minorHAnsi"/>
          <w:bCs/>
          <w:sz w:val="24"/>
          <w:szCs w:val="24"/>
        </w:rPr>
        <w:t xml:space="preserve">In the 20th century, downtown Oregon City became commerce and government hub, </w:t>
      </w:r>
      <w:r w:rsidR="00E37D17" w:rsidRPr="000B67FD">
        <w:rPr>
          <w:rFonts w:cstheme="minorHAnsi"/>
          <w:bCs/>
          <w:sz w:val="24"/>
          <w:szCs w:val="24"/>
        </w:rPr>
        <w:t xml:space="preserve">and Main Street reflected auto-oriented development </w:t>
      </w:r>
      <w:r w:rsidR="002C31E1" w:rsidRPr="000B67FD">
        <w:rPr>
          <w:rFonts w:cstheme="minorHAnsi"/>
          <w:bCs/>
          <w:sz w:val="24"/>
          <w:szCs w:val="24"/>
        </w:rPr>
        <w:t>patterns</w:t>
      </w:r>
      <w:r w:rsidR="00E37D17" w:rsidRPr="000B67FD">
        <w:rPr>
          <w:rFonts w:cstheme="minorHAnsi"/>
          <w:bCs/>
          <w:sz w:val="24"/>
          <w:szCs w:val="24"/>
        </w:rPr>
        <w:t xml:space="preserve"> </w:t>
      </w:r>
      <w:r w:rsidR="00C64390" w:rsidRPr="000B67FD">
        <w:rPr>
          <w:rFonts w:cstheme="minorHAnsi"/>
          <w:bCs/>
          <w:sz w:val="24"/>
          <w:szCs w:val="24"/>
        </w:rPr>
        <w:t>dominated by gas</w:t>
      </w:r>
      <w:r w:rsidR="00547212" w:rsidRPr="000B67FD">
        <w:rPr>
          <w:rFonts w:cstheme="minorHAnsi"/>
          <w:bCs/>
          <w:sz w:val="24"/>
          <w:szCs w:val="24"/>
        </w:rPr>
        <w:t>/service</w:t>
      </w:r>
      <w:r w:rsidR="00C64390" w:rsidRPr="000B67FD">
        <w:rPr>
          <w:rFonts w:cstheme="minorHAnsi"/>
          <w:bCs/>
          <w:sz w:val="24"/>
          <w:szCs w:val="24"/>
        </w:rPr>
        <w:t xml:space="preserve"> stations and auto </w:t>
      </w:r>
      <w:r w:rsidR="00547212" w:rsidRPr="000B67FD">
        <w:rPr>
          <w:rFonts w:cstheme="minorHAnsi"/>
          <w:bCs/>
          <w:sz w:val="24"/>
          <w:szCs w:val="24"/>
        </w:rPr>
        <w:t>dealers</w:t>
      </w:r>
      <w:r w:rsidR="00C64390" w:rsidRPr="000B67FD">
        <w:rPr>
          <w:rFonts w:cstheme="minorHAnsi"/>
          <w:bCs/>
          <w:sz w:val="24"/>
          <w:szCs w:val="24"/>
        </w:rPr>
        <w:t>.</w:t>
      </w:r>
      <w:r w:rsidR="00547212" w:rsidRPr="000B67FD">
        <w:rPr>
          <w:rFonts w:cstheme="minorHAnsi"/>
          <w:bCs/>
          <w:sz w:val="24"/>
          <w:szCs w:val="24"/>
        </w:rPr>
        <w:t xml:space="preserve"> </w:t>
      </w:r>
      <w:r w:rsidR="00CA789D" w:rsidRPr="000B67FD">
        <w:rPr>
          <w:rFonts w:cstheme="minorHAnsi"/>
          <w:bCs/>
          <w:sz w:val="24"/>
          <w:szCs w:val="24"/>
        </w:rPr>
        <w:t xml:space="preserve">The Blue Heron Paper Mill </w:t>
      </w:r>
      <w:r w:rsidR="004B3037" w:rsidRPr="000B67FD">
        <w:rPr>
          <w:rFonts w:cstheme="minorHAnsi"/>
          <w:bCs/>
          <w:sz w:val="24"/>
          <w:szCs w:val="24"/>
        </w:rPr>
        <w:t>operated on the Site</w:t>
      </w:r>
      <w:r w:rsidR="005A7DFC" w:rsidRPr="000B67FD">
        <w:rPr>
          <w:rFonts w:cstheme="minorHAnsi"/>
          <w:bCs/>
          <w:sz w:val="24"/>
          <w:szCs w:val="24"/>
        </w:rPr>
        <w:t xml:space="preserve"> </w:t>
      </w:r>
      <w:r w:rsidR="005D3B5B" w:rsidRPr="000B67FD">
        <w:rPr>
          <w:rFonts w:cstheme="minorHAnsi"/>
          <w:bCs/>
          <w:sz w:val="24"/>
          <w:szCs w:val="24"/>
        </w:rPr>
        <w:t xml:space="preserve">for 60 years </w:t>
      </w:r>
      <w:r w:rsidR="00CA789D" w:rsidRPr="000B67FD">
        <w:rPr>
          <w:rFonts w:cstheme="minorHAnsi"/>
          <w:bCs/>
          <w:sz w:val="24"/>
          <w:szCs w:val="24"/>
        </w:rPr>
        <w:t>until it closed permanently in</w:t>
      </w:r>
      <w:r w:rsidRPr="000B67FD">
        <w:rPr>
          <w:rFonts w:cstheme="minorHAnsi"/>
          <w:bCs/>
          <w:sz w:val="24"/>
          <w:szCs w:val="24"/>
        </w:rPr>
        <w:t xml:space="preserve"> 2011</w:t>
      </w:r>
      <w:r w:rsidR="0082716A" w:rsidRPr="000B67FD">
        <w:rPr>
          <w:rFonts w:cstheme="minorHAnsi"/>
          <w:sz w:val="24"/>
          <w:szCs w:val="24"/>
        </w:rPr>
        <w:t xml:space="preserve">. </w:t>
      </w:r>
      <w:r w:rsidRPr="000B67FD">
        <w:rPr>
          <w:rFonts w:cstheme="minorHAnsi"/>
          <w:bCs/>
          <w:sz w:val="24"/>
          <w:szCs w:val="24"/>
        </w:rPr>
        <w:t xml:space="preserve"> </w:t>
      </w:r>
    </w:p>
    <w:p w14:paraId="2657E338" w14:textId="3C692AB2" w:rsidR="00973DA8" w:rsidRDefault="00EF2808" w:rsidP="00373B2A">
      <w:pPr>
        <w:widowControl w:val="0"/>
        <w:spacing w:before="60" w:after="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sz w:val="24"/>
          <w:szCs w:val="24"/>
        </w:rPr>
        <w:t>Despite safety and security measures, t</w:t>
      </w:r>
      <w:r w:rsidR="00D66162" w:rsidRPr="000B67FD">
        <w:rPr>
          <w:rFonts w:cstheme="minorHAnsi"/>
          <w:sz w:val="24"/>
          <w:szCs w:val="24"/>
        </w:rPr>
        <w:t>he Site forms an unsafe, contaminated</w:t>
      </w:r>
      <w:r w:rsidR="00E106F0" w:rsidRPr="000B67FD">
        <w:rPr>
          <w:rFonts w:cstheme="minorHAnsi"/>
          <w:sz w:val="24"/>
          <w:szCs w:val="24"/>
        </w:rPr>
        <w:t xml:space="preserve"> </w:t>
      </w:r>
      <w:r w:rsidR="00D66162" w:rsidRPr="000B67FD">
        <w:rPr>
          <w:rFonts w:cstheme="minorHAnsi"/>
          <w:sz w:val="24"/>
          <w:szCs w:val="24"/>
        </w:rPr>
        <w:t>eyesore attracting vandalism and crime</w:t>
      </w:r>
      <w:r w:rsidR="00DF68B3" w:rsidRPr="000B67FD">
        <w:rPr>
          <w:rFonts w:cstheme="minorHAnsi"/>
          <w:sz w:val="24"/>
          <w:szCs w:val="24"/>
        </w:rPr>
        <w:t xml:space="preserve">. For example, in January 2025, trespassers started a massive fire </w:t>
      </w:r>
      <w:r w:rsidR="00FA7782" w:rsidRPr="000B67FD">
        <w:rPr>
          <w:rFonts w:cstheme="minorHAnsi"/>
          <w:sz w:val="24"/>
          <w:szCs w:val="24"/>
        </w:rPr>
        <w:t xml:space="preserve">in one of the Site’s vacant buildings. The </w:t>
      </w:r>
      <w:r w:rsidR="00DB2DF9" w:rsidRPr="000B67FD">
        <w:rPr>
          <w:rFonts w:cstheme="minorHAnsi"/>
          <w:sz w:val="24"/>
          <w:szCs w:val="24"/>
        </w:rPr>
        <w:t xml:space="preserve">Site </w:t>
      </w:r>
      <w:r w:rsidR="00FA7782" w:rsidRPr="000B67FD">
        <w:rPr>
          <w:rFonts w:cstheme="minorHAnsi"/>
          <w:sz w:val="24"/>
          <w:szCs w:val="24"/>
        </w:rPr>
        <w:t>has long been a barrier between the community and the beautiful Willamette River and Falls</w:t>
      </w:r>
      <w:r w:rsidR="00D66162" w:rsidRPr="000B67FD">
        <w:rPr>
          <w:rFonts w:cstheme="minorHAnsi"/>
          <w:sz w:val="24"/>
          <w:szCs w:val="24"/>
        </w:rPr>
        <w:t xml:space="preserve">. </w:t>
      </w:r>
      <w:r w:rsidR="00DB2DF9" w:rsidRPr="000B67FD">
        <w:rPr>
          <w:rFonts w:cstheme="minorHAnsi"/>
          <w:sz w:val="24"/>
          <w:szCs w:val="24"/>
        </w:rPr>
        <w:t>Blighted S</w:t>
      </w:r>
      <w:r w:rsidR="00A27393" w:rsidRPr="000B67FD">
        <w:rPr>
          <w:rFonts w:cstheme="minorHAnsi"/>
          <w:sz w:val="24"/>
          <w:szCs w:val="24"/>
        </w:rPr>
        <w:t>ite conditions</w:t>
      </w:r>
      <w:r w:rsidR="001A5BE9" w:rsidRPr="000B67FD">
        <w:rPr>
          <w:rFonts w:cstheme="minorHAnsi"/>
          <w:sz w:val="24"/>
          <w:szCs w:val="24"/>
        </w:rPr>
        <w:t xml:space="preserve"> cause a ripple effect f</w:t>
      </w:r>
      <w:r w:rsidR="00A27393" w:rsidRPr="000B67FD">
        <w:rPr>
          <w:rFonts w:cstheme="minorHAnsi"/>
          <w:sz w:val="24"/>
          <w:szCs w:val="24"/>
        </w:rPr>
        <w:t>urther into the Target Area</w:t>
      </w:r>
      <w:r w:rsidR="00C8498D" w:rsidRPr="000B67FD">
        <w:rPr>
          <w:rFonts w:cstheme="minorHAnsi"/>
          <w:sz w:val="24"/>
          <w:szCs w:val="24"/>
        </w:rPr>
        <w:t>, with multiple v</w:t>
      </w:r>
      <w:r w:rsidR="001A5BE9" w:rsidRPr="000B67FD">
        <w:rPr>
          <w:rFonts w:cstheme="minorHAnsi"/>
          <w:sz w:val="24"/>
          <w:szCs w:val="24"/>
        </w:rPr>
        <w:t xml:space="preserve">acant lots and buildings </w:t>
      </w:r>
      <w:r w:rsidR="00C8498D" w:rsidRPr="000B67FD">
        <w:rPr>
          <w:rFonts w:cstheme="minorHAnsi"/>
          <w:sz w:val="24"/>
          <w:szCs w:val="24"/>
        </w:rPr>
        <w:t xml:space="preserve">along Main Street. </w:t>
      </w:r>
      <w:r w:rsidR="00D338D4" w:rsidRPr="000B67FD">
        <w:rPr>
          <w:rFonts w:cstheme="minorHAnsi"/>
          <w:bCs/>
          <w:sz w:val="24"/>
          <w:szCs w:val="24"/>
        </w:rPr>
        <w:t xml:space="preserve">Oregon Department of Environmental Quality (DEQ) records </w:t>
      </w:r>
      <w:r w:rsidR="006F414D" w:rsidRPr="000B67FD">
        <w:rPr>
          <w:rFonts w:cstheme="minorHAnsi"/>
          <w:bCs/>
          <w:sz w:val="24"/>
          <w:szCs w:val="24"/>
        </w:rPr>
        <w:t xml:space="preserve">also </w:t>
      </w:r>
      <w:r w:rsidR="00D338D4" w:rsidRPr="000B67FD">
        <w:rPr>
          <w:rFonts w:cstheme="minorHAnsi"/>
          <w:bCs/>
          <w:sz w:val="24"/>
          <w:szCs w:val="24"/>
        </w:rPr>
        <w:t xml:space="preserve">show a string of leaking underground storage tank </w:t>
      </w:r>
      <w:r w:rsidR="002178DC" w:rsidRPr="000B67FD">
        <w:rPr>
          <w:rFonts w:cstheme="minorHAnsi"/>
          <w:bCs/>
          <w:sz w:val="24"/>
          <w:szCs w:val="24"/>
        </w:rPr>
        <w:t>sites</w:t>
      </w:r>
      <w:r w:rsidR="00D338D4" w:rsidRPr="000B67FD">
        <w:rPr>
          <w:rFonts w:cstheme="minorHAnsi"/>
          <w:bCs/>
          <w:sz w:val="24"/>
          <w:szCs w:val="24"/>
        </w:rPr>
        <w:t xml:space="preserve"> </w:t>
      </w:r>
      <w:r w:rsidR="006F414D" w:rsidRPr="000B67FD">
        <w:rPr>
          <w:rFonts w:cstheme="minorHAnsi"/>
          <w:bCs/>
          <w:sz w:val="24"/>
          <w:szCs w:val="24"/>
        </w:rPr>
        <w:t>in the</w:t>
      </w:r>
      <w:r w:rsidR="00630C32" w:rsidRPr="000B67FD">
        <w:rPr>
          <w:rFonts w:cstheme="minorHAnsi"/>
          <w:bCs/>
          <w:sz w:val="24"/>
          <w:szCs w:val="24"/>
        </w:rPr>
        <w:t xml:space="preserve"> Target Area</w:t>
      </w:r>
      <w:r w:rsidR="0037567F" w:rsidRPr="000B67FD">
        <w:rPr>
          <w:rFonts w:cstheme="minorHAnsi"/>
          <w:bCs/>
          <w:sz w:val="24"/>
          <w:szCs w:val="24"/>
        </w:rPr>
        <w:t xml:space="preserve">. </w:t>
      </w:r>
      <w:r w:rsidR="00E106F0" w:rsidRPr="000B67FD">
        <w:rPr>
          <w:rFonts w:cstheme="minorHAnsi"/>
          <w:sz w:val="24"/>
          <w:szCs w:val="24"/>
        </w:rPr>
        <w:t xml:space="preserve">Target Area conditions harm the river ecosystem, </w:t>
      </w:r>
      <w:r w:rsidR="009A0FBD" w:rsidRPr="000B67FD">
        <w:rPr>
          <w:rFonts w:cstheme="minorHAnsi"/>
          <w:sz w:val="24"/>
          <w:szCs w:val="24"/>
        </w:rPr>
        <w:t xml:space="preserve">deter investment and developer interest, </w:t>
      </w:r>
      <w:r w:rsidR="004E5C53" w:rsidRPr="000B67FD">
        <w:rPr>
          <w:rFonts w:cstheme="minorHAnsi"/>
          <w:sz w:val="24"/>
          <w:szCs w:val="24"/>
        </w:rPr>
        <w:t>reduce property values</w:t>
      </w:r>
      <w:r w:rsidR="00E106F0" w:rsidRPr="000B67FD">
        <w:rPr>
          <w:rFonts w:cstheme="minorHAnsi"/>
          <w:sz w:val="24"/>
          <w:szCs w:val="24"/>
        </w:rPr>
        <w:t xml:space="preserve">, and </w:t>
      </w:r>
      <w:r w:rsidR="009A0FBD" w:rsidRPr="000B67FD">
        <w:rPr>
          <w:rFonts w:cstheme="minorHAnsi"/>
          <w:sz w:val="24"/>
          <w:szCs w:val="24"/>
        </w:rPr>
        <w:t>cause</w:t>
      </w:r>
      <w:r w:rsidR="00E106F0" w:rsidRPr="000B67FD">
        <w:rPr>
          <w:rFonts w:cstheme="minorHAnsi"/>
          <w:sz w:val="24"/>
          <w:szCs w:val="24"/>
        </w:rPr>
        <w:t xml:space="preserve"> economic stagnation. </w:t>
      </w:r>
      <w:r w:rsidR="00040D4D" w:rsidRPr="00040D4D">
        <w:rPr>
          <w:rFonts w:cstheme="minorHAnsi"/>
          <w:sz w:val="24"/>
          <w:szCs w:val="24"/>
        </w:rPr>
        <w:t xml:space="preserve">Despite its scenic location and strong suitability for new residential and commercial uses, </w:t>
      </w:r>
      <w:r w:rsidR="00D87E96">
        <w:rPr>
          <w:rFonts w:cstheme="minorHAnsi"/>
          <w:sz w:val="24"/>
          <w:szCs w:val="24"/>
        </w:rPr>
        <w:t xml:space="preserve">contamination constrains redevelopment of the Site with new housing, job opportunities, and the potential to catalyze local and regional economic growth. </w:t>
      </w:r>
    </w:p>
    <w:p w14:paraId="476229D1" w14:textId="3C51964C" w:rsidR="00D84D5F" w:rsidRPr="000B67FD" w:rsidRDefault="005D6526" w:rsidP="00D84D5F">
      <w:pPr>
        <w:widowControl w:val="0"/>
        <w:spacing w:before="60" w:after="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sz w:val="24"/>
          <w:szCs w:val="24"/>
        </w:rPr>
        <w:t>In 2019, the Confederated Tribes of Grand Ronde (the Tribe</w:t>
      </w:r>
      <w:r w:rsidR="00E515BC" w:rsidRPr="000B67FD">
        <w:rPr>
          <w:rFonts w:cstheme="minorHAnsi"/>
          <w:sz w:val="24"/>
          <w:szCs w:val="24"/>
        </w:rPr>
        <w:t>, or CTGR</w:t>
      </w:r>
      <w:r w:rsidRPr="000B67FD">
        <w:rPr>
          <w:rFonts w:cstheme="minorHAnsi"/>
          <w:sz w:val="24"/>
          <w:szCs w:val="24"/>
        </w:rPr>
        <w:t>) purchased the Site to steward its redevelopment. In FY21 the Tribe was awarded $800K EPA Brownfield Multipurpose Grant, using the funds to</w:t>
      </w:r>
      <w:r w:rsidR="00B23FB1" w:rsidRPr="000B67FD">
        <w:rPr>
          <w:rFonts w:cstheme="minorHAnsi"/>
          <w:sz w:val="24"/>
          <w:szCs w:val="24"/>
        </w:rPr>
        <w:t xml:space="preserve"> successfully</w:t>
      </w:r>
      <w:r w:rsidRPr="000B67FD">
        <w:rPr>
          <w:rFonts w:cstheme="minorHAnsi"/>
          <w:sz w:val="24"/>
          <w:szCs w:val="24"/>
        </w:rPr>
        <w:t xml:space="preserve"> complete environmental sampling, cleanup planning, and preliminary remediation. </w:t>
      </w:r>
      <w:r w:rsidR="009061CD" w:rsidRPr="000B67FD">
        <w:rPr>
          <w:rFonts w:cstheme="minorHAnsi"/>
          <w:sz w:val="24"/>
          <w:szCs w:val="24"/>
        </w:rPr>
        <w:t xml:space="preserve">A </w:t>
      </w:r>
      <w:r w:rsidRPr="000B67FD">
        <w:rPr>
          <w:rFonts w:cstheme="minorHAnsi"/>
          <w:sz w:val="24"/>
          <w:szCs w:val="24"/>
        </w:rPr>
        <w:t xml:space="preserve">FY26 EPA Brownfield Cleanup Grant </w:t>
      </w:r>
      <w:r w:rsidR="00DB0698" w:rsidRPr="000B67FD">
        <w:rPr>
          <w:rFonts w:cstheme="minorHAnsi"/>
          <w:sz w:val="24"/>
          <w:szCs w:val="24"/>
        </w:rPr>
        <w:t>will cover the</w:t>
      </w:r>
      <w:r w:rsidRPr="000B67FD">
        <w:rPr>
          <w:rFonts w:cstheme="minorHAnsi"/>
          <w:sz w:val="24"/>
          <w:szCs w:val="24"/>
        </w:rPr>
        <w:t xml:space="preserve"> remaining cleanup</w:t>
      </w:r>
      <w:r w:rsidR="006C299D" w:rsidRPr="000B67FD">
        <w:rPr>
          <w:rFonts w:cstheme="minorHAnsi"/>
          <w:sz w:val="24"/>
          <w:szCs w:val="24"/>
        </w:rPr>
        <w:t xml:space="preserve"> that </w:t>
      </w:r>
      <w:r w:rsidR="009F7FDC" w:rsidRPr="000B67FD">
        <w:rPr>
          <w:rFonts w:cstheme="minorHAnsi"/>
          <w:sz w:val="24"/>
          <w:szCs w:val="24"/>
        </w:rPr>
        <w:t xml:space="preserve">will </w:t>
      </w:r>
      <w:r w:rsidR="00072A4C" w:rsidRPr="000B67FD">
        <w:rPr>
          <w:rFonts w:cstheme="minorHAnsi"/>
          <w:sz w:val="24"/>
          <w:szCs w:val="24"/>
        </w:rPr>
        <w:t xml:space="preserve">advance community-established goals to </w:t>
      </w:r>
      <w:r w:rsidR="00D03E97" w:rsidRPr="000B67FD">
        <w:rPr>
          <w:rFonts w:cstheme="minorHAnsi"/>
          <w:sz w:val="24"/>
          <w:szCs w:val="24"/>
        </w:rPr>
        <w:t>transform the Site</w:t>
      </w:r>
      <w:r w:rsidR="009F7FDC" w:rsidRPr="000B67FD">
        <w:rPr>
          <w:rFonts w:cstheme="minorHAnsi"/>
          <w:sz w:val="24"/>
          <w:szCs w:val="24"/>
        </w:rPr>
        <w:t xml:space="preserve"> into a regional </w:t>
      </w:r>
      <w:r w:rsidR="00C95161" w:rsidRPr="000B67FD">
        <w:rPr>
          <w:rFonts w:cstheme="minorHAnsi"/>
          <w:sz w:val="24"/>
          <w:szCs w:val="24"/>
        </w:rPr>
        <w:t xml:space="preserve">commercial and recreational </w:t>
      </w:r>
      <w:r w:rsidR="009F7FDC" w:rsidRPr="000B67FD">
        <w:rPr>
          <w:rFonts w:cstheme="minorHAnsi"/>
          <w:sz w:val="24"/>
          <w:szCs w:val="24"/>
        </w:rPr>
        <w:t>destination</w:t>
      </w:r>
      <w:r w:rsidR="00726B58" w:rsidRPr="000B67FD">
        <w:rPr>
          <w:rFonts w:cstheme="minorHAnsi"/>
          <w:sz w:val="24"/>
          <w:szCs w:val="24"/>
        </w:rPr>
        <w:t>. Finalizing cleanup of the Site is</w:t>
      </w:r>
      <w:r w:rsidR="00A40DA1" w:rsidRPr="000B67FD">
        <w:rPr>
          <w:rFonts w:cstheme="minorHAnsi"/>
          <w:sz w:val="24"/>
          <w:szCs w:val="24"/>
        </w:rPr>
        <w:t xml:space="preserve"> a powerful opportunity to</w:t>
      </w:r>
      <w:r w:rsidR="009F7FDC" w:rsidRPr="000B67FD">
        <w:rPr>
          <w:rFonts w:cstheme="minorHAnsi"/>
          <w:sz w:val="24"/>
          <w:szCs w:val="24"/>
        </w:rPr>
        <w:t xml:space="preserve"> catalyze Target Area economic revitalization</w:t>
      </w:r>
      <w:r w:rsidR="00A40DA1" w:rsidRPr="000B67FD">
        <w:rPr>
          <w:rFonts w:cstheme="minorHAnsi"/>
          <w:sz w:val="24"/>
          <w:szCs w:val="24"/>
        </w:rPr>
        <w:t xml:space="preserve"> and job creation</w:t>
      </w:r>
      <w:r w:rsidR="00726B58" w:rsidRPr="000B67FD">
        <w:rPr>
          <w:rFonts w:cstheme="minorHAnsi"/>
          <w:sz w:val="24"/>
          <w:szCs w:val="24"/>
        </w:rPr>
        <w:t xml:space="preserve"> </w:t>
      </w:r>
      <w:r w:rsidR="005B40AD" w:rsidRPr="000B67FD">
        <w:rPr>
          <w:rFonts w:cstheme="minorHAnsi"/>
          <w:sz w:val="24"/>
          <w:szCs w:val="24"/>
        </w:rPr>
        <w:t>by promoting</w:t>
      </w:r>
      <w:r w:rsidR="00726B58" w:rsidRPr="000B67FD">
        <w:rPr>
          <w:rFonts w:cstheme="minorHAnsi"/>
          <w:sz w:val="24"/>
          <w:szCs w:val="24"/>
        </w:rPr>
        <w:t xml:space="preserve"> cultural tourism, </w:t>
      </w:r>
      <w:r w:rsidR="005B40AD" w:rsidRPr="000B67FD">
        <w:rPr>
          <w:rFonts w:cstheme="minorHAnsi"/>
          <w:sz w:val="24"/>
          <w:szCs w:val="24"/>
        </w:rPr>
        <w:t xml:space="preserve">creating </w:t>
      </w:r>
      <w:r w:rsidR="00FE5ACE" w:rsidRPr="000B67FD">
        <w:rPr>
          <w:rFonts w:cstheme="minorHAnsi"/>
          <w:sz w:val="24"/>
          <w:szCs w:val="24"/>
        </w:rPr>
        <w:t>recreational opportunities, protect</w:t>
      </w:r>
      <w:r w:rsidR="005B40AD" w:rsidRPr="000B67FD">
        <w:rPr>
          <w:rFonts w:cstheme="minorHAnsi"/>
          <w:sz w:val="24"/>
          <w:szCs w:val="24"/>
        </w:rPr>
        <w:t>ing</w:t>
      </w:r>
      <w:r w:rsidR="00FE5ACE" w:rsidRPr="000B67FD">
        <w:rPr>
          <w:rFonts w:cstheme="minorHAnsi"/>
          <w:sz w:val="24"/>
          <w:szCs w:val="24"/>
        </w:rPr>
        <w:t xml:space="preserve"> </w:t>
      </w:r>
      <w:r w:rsidR="00FE5D6F" w:rsidRPr="000B67FD">
        <w:rPr>
          <w:rFonts w:cstheme="minorHAnsi"/>
          <w:sz w:val="24"/>
          <w:szCs w:val="24"/>
        </w:rPr>
        <w:t>and restor</w:t>
      </w:r>
      <w:r w:rsidR="005B40AD" w:rsidRPr="000B67FD">
        <w:rPr>
          <w:rFonts w:cstheme="minorHAnsi"/>
          <w:sz w:val="24"/>
          <w:szCs w:val="24"/>
        </w:rPr>
        <w:t>ing</w:t>
      </w:r>
      <w:r w:rsidR="00FE5D6F" w:rsidRPr="000B67FD">
        <w:rPr>
          <w:rFonts w:cstheme="minorHAnsi"/>
          <w:sz w:val="24"/>
          <w:szCs w:val="24"/>
        </w:rPr>
        <w:t xml:space="preserve"> the local</w:t>
      </w:r>
      <w:r w:rsidR="008A3882" w:rsidRPr="000B67FD">
        <w:rPr>
          <w:rFonts w:cstheme="minorHAnsi"/>
          <w:sz w:val="24"/>
          <w:szCs w:val="24"/>
        </w:rPr>
        <w:t xml:space="preserve"> ecosystem</w:t>
      </w:r>
      <w:r w:rsidR="009F7FDC" w:rsidRPr="000B67FD">
        <w:rPr>
          <w:rFonts w:cstheme="minorHAnsi"/>
          <w:sz w:val="24"/>
          <w:szCs w:val="24"/>
        </w:rPr>
        <w:t>, and reconnect</w:t>
      </w:r>
      <w:r w:rsidR="005B40AD" w:rsidRPr="000B67FD">
        <w:rPr>
          <w:rFonts w:cstheme="minorHAnsi"/>
          <w:sz w:val="24"/>
          <w:szCs w:val="24"/>
        </w:rPr>
        <w:t>ing</w:t>
      </w:r>
      <w:r w:rsidR="009F7FDC" w:rsidRPr="000B67FD">
        <w:rPr>
          <w:rFonts w:cstheme="minorHAnsi"/>
          <w:sz w:val="24"/>
          <w:szCs w:val="24"/>
        </w:rPr>
        <w:t xml:space="preserve"> the community with one of Oregon’s most beautiful and storied natural features. </w:t>
      </w:r>
    </w:p>
    <w:p w14:paraId="2F269C97" w14:textId="2CF3F97F" w:rsidR="00D93EAE" w:rsidRPr="000B67FD" w:rsidRDefault="00021BC2" w:rsidP="008A14CC">
      <w:pPr>
        <w:widowControl w:val="0"/>
        <w:spacing w:before="60" w:after="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b/>
          <w:sz w:val="24"/>
          <w:szCs w:val="24"/>
          <w:u w:val="single"/>
        </w:rPr>
        <w:t>1.</w:t>
      </w:r>
      <w:r w:rsidR="00B22F38" w:rsidRPr="000B67FD">
        <w:rPr>
          <w:rFonts w:cstheme="minorHAnsi"/>
          <w:b/>
          <w:sz w:val="24"/>
          <w:szCs w:val="24"/>
          <w:u w:val="single"/>
        </w:rPr>
        <w:t>b</w:t>
      </w:r>
      <w:r w:rsidRPr="000B67FD">
        <w:rPr>
          <w:rFonts w:cstheme="minorHAnsi"/>
          <w:b/>
          <w:sz w:val="24"/>
          <w:szCs w:val="24"/>
          <w:u w:val="single"/>
        </w:rPr>
        <w:t>. Descri</w:t>
      </w:r>
      <w:r w:rsidR="00994997" w:rsidRPr="000B67FD">
        <w:rPr>
          <w:rFonts w:cstheme="minorHAnsi"/>
          <w:b/>
          <w:sz w:val="24"/>
          <w:szCs w:val="24"/>
          <w:u w:val="single"/>
        </w:rPr>
        <w:t xml:space="preserve">ption of the </w:t>
      </w:r>
      <w:r w:rsidR="00981A5A" w:rsidRPr="000B67FD">
        <w:rPr>
          <w:rFonts w:cstheme="minorHAnsi"/>
          <w:b/>
          <w:sz w:val="24"/>
          <w:szCs w:val="24"/>
          <w:u w:val="single"/>
        </w:rPr>
        <w:t xml:space="preserve">Proposed </w:t>
      </w:r>
      <w:r w:rsidR="00994997" w:rsidRPr="000B67FD">
        <w:rPr>
          <w:rFonts w:cstheme="minorHAnsi"/>
          <w:b/>
          <w:sz w:val="24"/>
          <w:szCs w:val="24"/>
          <w:u w:val="single"/>
        </w:rPr>
        <w:t>Brownfield Site</w:t>
      </w:r>
      <w:r w:rsidR="00CB791B" w:rsidRPr="000B67FD">
        <w:rPr>
          <w:rFonts w:cstheme="minorHAnsi"/>
          <w:b/>
          <w:sz w:val="24"/>
          <w:szCs w:val="24"/>
        </w:rPr>
        <w:t>:</w:t>
      </w:r>
      <w:r w:rsidR="006C2E6C" w:rsidRPr="000B67FD">
        <w:rPr>
          <w:rFonts w:cstheme="minorHAnsi"/>
          <w:b/>
          <w:sz w:val="24"/>
          <w:szCs w:val="24"/>
        </w:rPr>
        <w:t xml:space="preserve"> </w:t>
      </w:r>
      <w:r w:rsidR="00C21F1E" w:rsidRPr="000B67FD">
        <w:rPr>
          <w:rFonts w:cstheme="minorHAnsi"/>
          <w:sz w:val="24"/>
          <w:szCs w:val="24"/>
        </w:rPr>
        <w:t xml:space="preserve">The </w:t>
      </w:r>
      <w:r w:rsidR="008479BA" w:rsidRPr="000B67FD">
        <w:rPr>
          <w:rFonts w:cstheme="minorHAnsi"/>
          <w:sz w:val="24"/>
          <w:szCs w:val="24"/>
        </w:rPr>
        <w:t>Site</w:t>
      </w:r>
      <w:r w:rsidR="00C21F1E" w:rsidRPr="000B67FD">
        <w:rPr>
          <w:rFonts w:cstheme="minorHAnsi"/>
          <w:sz w:val="24"/>
          <w:szCs w:val="24"/>
        </w:rPr>
        <w:t xml:space="preserve"> </w:t>
      </w:r>
      <w:r w:rsidR="007E715C" w:rsidRPr="000B67FD">
        <w:rPr>
          <w:rFonts w:cstheme="minorHAnsi"/>
          <w:sz w:val="24"/>
          <w:szCs w:val="24"/>
        </w:rPr>
        <w:t>extends</w:t>
      </w:r>
      <w:r w:rsidR="00C42872" w:rsidRPr="000B67FD">
        <w:rPr>
          <w:rFonts w:cstheme="minorHAnsi"/>
          <w:sz w:val="24"/>
          <w:szCs w:val="24"/>
        </w:rPr>
        <w:t xml:space="preserve"> along approximately </w:t>
      </w:r>
      <w:r w:rsidR="008A15FB" w:rsidRPr="000B67FD">
        <w:rPr>
          <w:rFonts w:cstheme="minorHAnsi"/>
          <w:sz w:val="24"/>
          <w:szCs w:val="24"/>
        </w:rPr>
        <w:t>4</w:t>
      </w:r>
      <w:r w:rsidR="00C42872" w:rsidRPr="000B67FD">
        <w:rPr>
          <w:rFonts w:cstheme="minorHAnsi"/>
          <w:sz w:val="24"/>
          <w:szCs w:val="24"/>
        </w:rPr>
        <w:t xml:space="preserve">,000 feet of </w:t>
      </w:r>
      <w:r w:rsidR="0033111E" w:rsidRPr="000B67FD">
        <w:rPr>
          <w:rFonts w:cstheme="minorHAnsi"/>
          <w:sz w:val="24"/>
          <w:szCs w:val="24"/>
        </w:rPr>
        <w:t>the Willamette River</w:t>
      </w:r>
      <w:r w:rsidR="007E715C" w:rsidRPr="000B67FD">
        <w:rPr>
          <w:rFonts w:cstheme="minorHAnsi"/>
          <w:sz w:val="24"/>
          <w:szCs w:val="24"/>
        </w:rPr>
        <w:t>, adjoining</w:t>
      </w:r>
      <w:r w:rsidR="0033111E" w:rsidRPr="000B67FD">
        <w:rPr>
          <w:rFonts w:cstheme="minorHAnsi"/>
          <w:sz w:val="24"/>
          <w:szCs w:val="24"/>
        </w:rPr>
        <w:t xml:space="preserve"> the </w:t>
      </w:r>
      <w:r w:rsidR="001A1C5B" w:rsidRPr="000B67FD">
        <w:rPr>
          <w:rFonts w:cstheme="minorHAnsi"/>
          <w:sz w:val="24"/>
          <w:szCs w:val="24"/>
        </w:rPr>
        <w:t>River and</w:t>
      </w:r>
      <w:r w:rsidR="0033111E" w:rsidRPr="000B67FD">
        <w:rPr>
          <w:rFonts w:cstheme="minorHAnsi"/>
          <w:sz w:val="24"/>
          <w:szCs w:val="24"/>
        </w:rPr>
        <w:t xml:space="preserve"> Falls to the south and west</w:t>
      </w:r>
      <w:r w:rsidR="007E715C" w:rsidRPr="000B67FD">
        <w:rPr>
          <w:rFonts w:cstheme="minorHAnsi"/>
          <w:sz w:val="24"/>
          <w:szCs w:val="24"/>
        </w:rPr>
        <w:t xml:space="preserve">. </w:t>
      </w:r>
      <w:r w:rsidR="00907FE2" w:rsidRPr="000B67FD">
        <w:rPr>
          <w:rFonts w:cstheme="minorHAnsi"/>
          <w:sz w:val="24"/>
          <w:szCs w:val="24"/>
        </w:rPr>
        <w:t xml:space="preserve">Railroad tracks and State Hwy 99E form the eastern boundary. </w:t>
      </w:r>
      <w:r w:rsidR="007E715C" w:rsidRPr="000B67FD">
        <w:rPr>
          <w:rFonts w:cstheme="minorHAnsi"/>
          <w:sz w:val="24"/>
          <w:szCs w:val="24"/>
        </w:rPr>
        <w:t>Beyond the highway the land rises to a bluff topped by a residential/commercial neighborhood</w:t>
      </w:r>
      <w:r w:rsidR="009554B8" w:rsidRPr="000B67FD">
        <w:rPr>
          <w:rFonts w:cstheme="minorHAnsi"/>
          <w:sz w:val="24"/>
          <w:szCs w:val="24"/>
        </w:rPr>
        <w:t xml:space="preserve"> that overlooks the </w:t>
      </w:r>
      <w:r w:rsidR="00277C94" w:rsidRPr="000B67FD">
        <w:rPr>
          <w:rFonts w:cstheme="minorHAnsi"/>
          <w:sz w:val="24"/>
          <w:szCs w:val="24"/>
        </w:rPr>
        <w:t>Site</w:t>
      </w:r>
      <w:r w:rsidR="007E715C" w:rsidRPr="000B67FD">
        <w:rPr>
          <w:rFonts w:cstheme="minorHAnsi"/>
          <w:sz w:val="24"/>
          <w:szCs w:val="24"/>
        </w:rPr>
        <w:t xml:space="preserve">. </w:t>
      </w:r>
      <w:r w:rsidR="009554B8" w:rsidRPr="000B67FD">
        <w:rPr>
          <w:rFonts w:cstheme="minorHAnsi"/>
          <w:sz w:val="24"/>
          <w:szCs w:val="24"/>
        </w:rPr>
        <w:t xml:space="preserve">Except for a few isolated areas of vegetation along the river, the </w:t>
      </w:r>
      <w:r w:rsidR="00981A5A" w:rsidRPr="000B67FD">
        <w:rPr>
          <w:rFonts w:cstheme="minorHAnsi"/>
          <w:sz w:val="24"/>
          <w:szCs w:val="24"/>
        </w:rPr>
        <w:t>Property</w:t>
      </w:r>
      <w:r w:rsidR="009554B8" w:rsidRPr="000B67FD">
        <w:rPr>
          <w:rFonts w:cstheme="minorHAnsi"/>
          <w:sz w:val="24"/>
          <w:szCs w:val="24"/>
        </w:rPr>
        <w:t xml:space="preserve"> is paved or occupied by </w:t>
      </w:r>
      <w:r w:rsidR="00AC015B" w:rsidRPr="000B67FD">
        <w:rPr>
          <w:rFonts w:cstheme="minorHAnsi"/>
          <w:sz w:val="24"/>
          <w:szCs w:val="24"/>
        </w:rPr>
        <w:t xml:space="preserve">over 50 </w:t>
      </w:r>
      <w:r w:rsidR="00EF5568" w:rsidRPr="000B67FD">
        <w:rPr>
          <w:rFonts w:cstheme="minorHAnsi"/>
          <w:sz w:val="24"/>
          <w:szCs w:val="24"/>
        </w:rPr>
        <w:t xml:space="preserve">vacant </w:t>
      </w:r>
      <w:r w:rsidR="00277C94" w:rsidRPr="000B67FD">
        <w:rPr>
          <w:rFonts w:cstheme="minorHAnsi"/>
          <w:sz w:val="24"/>
          <w:szCs w:val="24"/>
        </w:rPr>
        <w:t>structures.</w:t>
      </w:r>
      <w:r w:rsidR="00D93EAE" w:rsidRPr="000B67FD">
        <w:rPr>
          <w:rFonts w:cstheme="minorHAnsi"/>
          <w:sz w:val="24"/>
          <w:szCs w:val="24"/>
        </w:rPr>
        <w:t xml:space="preserve"> </w:t>
      </w:r>
    </w:p>
    <w:p w14:paraId="5E204D44" w14:textId="510B4BF5" w:rsidR="00AD1817" w:rsidRPr="000B67FD" w:rsidRDefault="008A14CC" w:rsidP="008A14CC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</w:rPr>
        <w:t xml:space="preserve">Early </w:t>
      </w:r>
      <w:r w:rsidR="008C66C3" w:rsidRPr="000B67FD">
        <w:rPr>
          <w:rFonts w:cstheme="minorHAnsi"/>
          <w:bCs/>
          <w:sz w:val="24"/>
          <w:szCs w:val="24"/>
        </w:rPr>
        <w:t>commercial</w:t>
      </w:r>
      <w:r w:rsidRPr="000B67FD">
        <w:rPr>
          <w:rFonts w:cstheme="minorHAnsi"/>
          <w:bCs/>
          <w:sz w:val="24"/>
          <w:szCs w:val="24"/>
        </w:rPr>
        <w:t xml:space="preserve"> Site uses included wool, </w:t>
      </w:r>
      <w:r w:rsidR="00E17750" w:rsidRPr="000B67FD">
        <w:rPr>
          <w:rFonts w:cstheme="minorHAnsi"/>
          <w:bCs/>
          <w:sz w:val="24"/>
          <w:szCs w:val="24"/>
        </w:rPr>
        <w:t>flour</w:t>
      </w:r>
      <w:r w:rsidR="00EC130A" w:rsidRPr="000B67FD">
        <w:rPr>
          <w:rFonts w:cstheme="minorHAnsi"/>
          <w:bCs/>
          <w:sz w:val="24"/>
          <w:szCs w:val="24"/>
        </w:rPr>
        <w:t>,</w:t>
      </w:r>
      <w:r w:rsidR="00E17750" w:rsidRPr="000B67FD">
        <w:rPr>
          <w:rFonts w:cstheme="minorHAnsi"/>
          <w:bCs/>
          <w:sz w:val="24"/>
          <w:szCs w:val="24"/>
        </w:rPr>
        <w:t xml:space="preserve"> and </w:t>
      </w:r>
      <w:r w:rsidR="00946C86" w:rsidRPr="000B67FD">
        <w:rPr>
          <w:rFonts w:cstheme="minorHAnsi"/>
          <w:bCs/>
          <w:sz w:val="24"/>
          <w:szCs w:val="24"/>
        </w:rPr>
        <w:t>timber</w:t>
      </w:r>
      <w:r w:rsidRPr="000B67FD">
        <w:rPr>
          <w:rFonts w:cstheme="minorHAnsi"/>
          <w:bCs/>
          <w:sz w:val="24"/>
          <w:szCs w:val="24"/>
        </w:rPr>
        <w:t xml:space="preserve"> mills, </w:t>
      </w:r>
      <w:proofErr w:type="gramStart"/>
      <w:r w:rsidRPr="000B67FD">
        <w:rPr>
          <w:rFonts w:cstheme="minorHAnsi"/>
          <w:bCs/>
          <w:sz w:val="24"/>
          <w:szCs w:val="24"/>
        </w:rPr>
        <w:t>a tannery</w:t>
      </w:r>
      <w:proofErr w:type="gramEnd"/>
      <w:r w:rsidRPr="000B67FD">
        <w:rPr>
          <w:rFonts w:cstheme="minorHAnsi"/>
          <w:bCs/>
          <w:sz w:val="24"/>
          <w:szCs w:val="24"/>
        </w:rPr>
        <w:t xml:space="preserve">, soap making, warehouses, and retail businesses. </w:t>
      </w:r>
      <w:r w:rsidR="00EC130A" w:rsidRPr="000B67FD">
        <w:rPr>
          <w:rFonts w:cstheme="minorHAnsi"/>
          <w:bCs/>
          <w:sz w:val="24"/>
          <w:szCs w:val="24"/>
        </w:rPr>
        <w:t xml:space="preserve">In the </w:t>
      </w:r>
      <w:r w:rsidRPr="000B67FD">
        <w:rPr>
          <w:rFonts w:cstheme="minorHAnsi"/>
          <w:bCs/>
          <w:sz w:val="24"/>
          <w:szCs w:val="24"/>
        </w:rPr>
        <w:t xml:space="preserve">20th century, hydroelectric facilities and the paper mill dominated the Site. The paper mill included extensive operations/process infrastructure including </w:t>
      </w:r>
      <w:r w:rsidR="004F3311" w:rsidRPr="000B67FD">
        <w:rPr>
          <w:rFonts w:cstheme="minorHAnsi"/>
          <w:bCs/>
          <w:sz w:val="24"/>
          <w:szCs w:val="24"/>
        </w:rPr>
        <w:t>3</w:t>
      </w:r>
      <w:r w:rsidRPr="000B67FD">
        <w:rPr>
          <w:rFonts w:cstheme="minorHAnsi"/>
          <w:bCs/>
          <w:sz w:val="24"/>
          <w:szCs w:val="24"/>
        </w:rPr>
        <w:t xml:space="preserve"> paper machines, a de‐inking plant, bleach houses, dye houses, laundry operations, numerous underground and aboveground storage tanks, two electrical substations, an auto repair shop, a former transformer field, tail races, rail spurs, and large materials storage areas and stockpiles. </w:t>
      </w:r>
    </w:p>
    <w:p w14:paraId="733EDF28" w14:textId="2E15AD21" w:rsidR="008A14CC" w:rsidRPr="000B67FD" w:rsidRDefault="005C3B83" w:rsidP="66634F82">
      <w:pPr>
        <w:widowControl w:val="0"/>
        <w:spacing w:before="60" w:after="0" w:line="240" w:lineRule="exact"/>
        <w:rPr>
          <w:sz w:val="24"/>
          <w:szCs w:val="24"/>
          <w:highlight w:val="magenta"/>
        </w:rPr>
      </w:pPr>
      <w:r w:rsidRPr="66634F82">
        <w:rPr>
          <w:sz w:val="24"/>
          <w:szCs w:val="24"/>
        </w:rPr>
        <w:t xml:space="preserve">In 2019, the Tribe signed a Prospective Purchaser Agreement (PPA) with the Oregon Department of Environmental Quality (DEQ) agreeing to complete assessment and cleanup actions at the Site in exchange for environmental liability protections. </w:t>
      </w:r>
      <w:r w:rsidR="0B455F88" w:rsidRPr="66634F82">
        <w:rPr>
          <w:sz w:val="24"/>
          <w:szCs w:val="24"/>
        </w:rPr>
        <w:t>A</w:t>
      </w:r>
      <w:r w:rsidR="009D13DE" w:rsidRPr="66634F82">
        <w:rPr>
          <w:sz w:val="24"/>
          <w:szCs w:val="24"/>
        </w:rPr>
        <w:t xml:space="preserve"> remedial investigation </w:t>
      </w:r>
      <w:r w:rsidR="6C05B6C9" w:rsidRPr="66634F82">
        <w:rPr>
          <w:sz w:val="24"/>
          <w:szCs w:val="24"/>
        </w:rPr>
        <w:t xml:space="preserve">(RI) </w:t>
      </w:r>
      <w:r w:rsidR="005B1AF1" w:rsidRPr="66634F82">
        <w:rPr>
          <w:sz w:val="24"/>
          <w:szCs w:val="24"/>
        </w:rPr>
        <w:t xml:space="preserve">was </w:t>
      </w:r>
      <w:r w:rsidR="009D13DE" w:rsidRPr="66634F82">
        <w:rPr>
          <w:sz w:val="24"/>
          <w:szCs w:val="24"/>
        </w:rPr>
        <w:t>co</w:t>
      </w:r>
      <w:r w:rsidR="74121BFB" w:rsidRPr="66634F82">
        <w:rPr>
          <w:sz w:val="24"/>
          <w:szCs w:val="24"/>
        </w:rPr>
        <w:t>mple</w:t>
      </w:r>
      <w:r w:rsidR="009D13DE" w:rsidRPr="66634F82">
        <w:rPr>
          <w:sz w:val="24"/>
          <w:szCs w:val="24"/>
        </w:rPr>
        <w:t xml:space="preserve">ted using the FY21 </w:t>
      </w:r>
      <w:r w:rsidR="64187431" w:rsidRPr="66634F82">
        <w:rPr>
          <w:sz w:val="24"/>
          <w:szCs w:val="24"/>
        </w:rPr>
        <w:t xml:space="preserve">Brownfield </w:t>
      </w:r>
      <w:r w:rsidR="009D13DE" w:rsidRPr="66634F82">
        <w:rPr>
          <w:sz w:val="24"/>
          <w:szCs w:val="24"/>
        </w:rPr>
        <w:t>Multipurpo</w:t>
      </w:r>
      <w:r w:rsidR="0F562C41" w:rsidRPr="66634F82">
        <w:rPr>
          <w:sz w:val="24"/>
          <w:szCs w:val="24"/>
        </w:rPr>
        <w:t>s</w:t>
      </w:r>
      <w:r w:rsidR="009D13DE" w:rsidRPr="66634F82">
        <w:rPr>
          <w:sz w:val="24"/>
          <w:szCs w:val="24"/>
        </w:rPr>
        <w:t>e Grant</w:t>
      </w:r>
      <w:r w:rsidR="5ACE12E9" w:rsidRPr="66634F82">
        <w:rPr>
          <w:sz w:val="24"/>
          <w:szCs w:val="24"/>
        </w:rPr>
        <w:t>.</w:t>
      </w:r>
      <w:r w:rsidR="005B1AF1" w:rsidRPr="66634F82">
        <w:rPr>
          <w:sz w:val="24"/>
          <w:szCs w:val="24"/>
        </w:rPr>
        <w:t xml:space="preserve"> </w:t>
      </w:r>
      <w:r w:rsidR="78BFB5C0" w:rsidRPr="66634F82">
        <w:rPr>
          <w:sz w:val="24"/>
          <w:szCs w:val="24"/>
        </w:rPr>
        <w:t xml:space="preserve">Primary RI findings included: 1) an estimated 26,500 cubic yards of </w:t>
      </w:r>
      <w:r w:rsidR="1C716308" w:rsidRPr="66634F82">
        <w:rPr>
          <w:sz w:val="24"/>
          <w:szCs w:val="24"/>
        </w:rPr>
        <w:t xml:space="preserve">soil </w:t>
      </w:r>
      <w:r w:rsidR="78BFB5C0" w:rsidRPr="66634F82">
        <w:rPr>
          <w:sz w:val="24"/>
          <w:szCs w:val="24"/>
        </w:rPr>
        <w:t xml:space="preserve">contaminated </w:t>
      </w:r>
      <w:r w:rsidR="0236EFA2" w:rsidRPr="66634F82">
        <w:rPr>
          <w:sz w:val="24"/>
          <w:szCs w:val="24"/>
        </w:rPr>
        <w:t xml:space="preserve">with </w:t>
      </w:r>
      <w:r w:rsidR="602C7D2E" w:rsidRPr="66634F82">
        <w:rPr>
          <w:sz w:val="24"/>
          <w:szCs w:val="24"/>
        </w:rPr>
        <w:t xml:space="preserve">arsenic, </w:t>
      </w:r>
      <w:r w:rsidR="0236EFA2" w:rsidRPr="66634F82">
        <w:rPr>
          <w:sz w:val="24"/>
          <w:szCs w:val="24"/>
        </w:rPr>
        <w:t>lead, polycyclic aromatic hy</w:t>
      </w:r>
      <w:r w:rsidR="524063C6" w:rsidRPr="66634F82">
        <w:rPr>
          <w:sz w:val="24"/>
          <w:szCs w:val="24"/>
        </w:rPr>
        <w:t>d</w:t>
      </w:r>
      <w:r w:rsidR="0236EFA2" w:rsidRPr="66634F82">
        <w:rPr>
          <w:sz w:val="24"/>
          <w:szCs w:val="24"/>
        </w:rPr>
        <w:t>rocarbons</w:t>
      </w:r>
      <w:r w:rsidR="5149BE70" w:rsidRPr="66634F82">
        <w:rPr>
          <w:sz w:val="24"/>
          <w:szCs w:val="24"/>
        </w:rPr>
        <w:t xml:space="preserve"> and/or dioxins </w:t>
      </w:r>
      <w:r w:rsidR="7FFB1448" w:rsidRPr="66634F82">
        <w:rPr>
          <w:sz w:val="24"/>
          <w:szCs w:val="24"/>
        </w:rPr>
        <w:t>were</w:t>
      </w:r>
      <w:r w:rsidR="5149BE70" w:rsidRPr="66634F82">
        <w:rPr>
          <w:sz w:val="24"/>
          <w:szCs w:val="24"/>
        </w:rPr>
        <w:t xml:space="preserve"> delineated</w:t>
      </w:r>
      <w:r w:rsidR="35F3B5F6" w:rsidRPr="66634F82">
        <w:rPr>
          <w:sz w:val="24"/>
          <w:szCs w:val="24"/>
        </w:rPr>
        <w:t xml:space="preserve">; and 2) </w:t>
      </w:r>
      <w:r w:rsidR="017D8754" w:rsidRPr="66634F82">
        <w:rPr>
          <w:sz w:val="24"/>
          <w:szCs w:val="24"/>
        </w:rPr>
        <w:t xml:space="preserve">nearly </w:t>
      </w:r>
      <w:r w:rsidR="35F3B5F6" w:rsidRPr="66634F82">
        <w:rPr>
          <w:sz w:val="24"/>
          <w:szCs w:val="24"/>
        </w:rPr>
        <w:t>all soil (108,000 cubic yards) within the ecological restoration area of the Site contains th</w:t>
      </w:r>
      <w:r w:rsidR="6C74D06C" w:rsidRPr="66634F82">
        <w:rPr>
          <w:sz w:val="24"/>
          <w:szCs w:val="24"/>
        </w:rPr>
        <w:t>e same contaminants at concentrations exceeding DEQ clean fill screening values.</w:t>
      </w:r>
    </w:p>
    <w:p w14:paraId="4E337743" w14:textId="1FCAFA6F" w:rsidR="00AC1F84" w:rsidRPr="000B67FD" w:rsidRDefault="00021BC2" w:rsidP="00AC1F84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/>
          <w:sz w:val="24"/>
          <w:szCs w:val="24"/>
          <w:u w:val="single"/>
        </w:rPr>
        <w:lastRenderedPageBreak/>
        <w:t>1.</w:t>
      </w:r>
      <w:r w:rsidR="00B22F38" w:rsidRPr="000B67FD">
        <w:rPr>
          <w:rFonts w:cstheme="minorHAnsi"/>
          <w:b/>
          <w:sz w:val="24"/>
          <w:szCs w:val="24"/>
          <w:u w:val="single"/>
        </w:rPr>
        <w:t>c</w:t>
      </w:r>
      <w:r w:rsidRPr="000B67FD">
        <w:rPr>
          <w:rFonts w:cstheme="minorHAnsi"/>
          <w:b/>
          <w:sz w:val="24"/>
          <w:szCs w:val="24"/>
          <w:u w:val="single"/>
        </w:rPr>
        <w:t>.</w:t>
      </w:r>
      <w:r w:rsidR="0025672A" w:rsidRPr="000B67FD">
        <w:rPr>
          <w:rFonts w:cstheme="minorHAnsi"/>
          <w:b/>
          <w:sz w:val="24"/>
          <w:szCs w:val="24"/>
          <w:u w:val="single"/>
        </w:rPr>
        <w:t xml:space="preserve"> </w:t>
      </w:r>
      <w:r w:rsidR="00A852BA" w:rsidRPr="000B67FD">
        <w:rPr>
          <w:rFonts w:cstheme="minorHAnsi"/>
          <w:b/>
          <w:sz w:val="24"/>
          <w:szCs w:val="24"/>
          <w:u w:val="single"/>
        </w:rPr>
        <w:t xml:space="preserve">Reuse Strategy and Alignment with Revitalization </w:t>
      </w:r>
      <w:commentRangeStart w:id="0"/>
      <w:r w:rsidR="00A852BA" w:rsidRPr="000B67FD">
        <w:rPr>
          <w:rFonts w:cstheme="minorHAnsi"/>
          <w:b/>
          <w:sz w:val="24"/>
          <w:szCs w:val="24"/>
          <w:u w:val="single"/>
        </w:rPr>
        <w:t>Plans</w:t>
      </w:r>
      <w:commentRangeEnd w:id="0"/>
      <w:r w:rsidR="00FD10AE" w:rsidRPr="000B67FD">
        <w:rPr>
          <w:rStyle w:val="CommentReference"/>
          <w:rFonts w:cstheme="minorHAnsi"/>
          <w:b/>
          <w:sz w:val="24"/>
          <w:szCs w:val="24"/>
        </w:rPr>
        <w:commentReference w:id="0"/>
      </w:r>
      <w:r w:rsidR="00997017" w:rsidRPr="000B67FD">
        <w:rPr>
          <w:rFonts w:cstheme="minorHAnsi"/>
          <w:b/>
          <w:sz w:val="24"/>
          <w:szCs w:val="24"/>
        </w:rPr>
        <w:t>:</w:t>
      </w:r>
      <w:r w:rsidR="00997017" w:rsidRPr="000B67FD">
        <w:rPr>
          <w:rFonts w:cstheme="minorHAnsi"/>
          <w:bCs/>
          <w:sz w:val="24"/>
          <w:szCs w:val="24"/>
        </w:rPr>
        <w:t xml:space="preserve"> </w:t>
      </w:r>
      <w:r w:rsidR="00913C8F" w:rsidRPr="000B67FD">
        <w:rPr>
          <w:rFonts w:cstheme="minorHAnsi"/>
          <w:bCs/>
          <w:sz w:val="24"/>
          <w:szCs w:val="24"/>
        </w:rPr>
        <w:t>Finalizing Site cleanup</w:t>
      </w:r>
      <w:r w:rsidR="00AC1F84" w:rsidRPr="000B67FD">
        <w:rPr>
          <w:rFonts w:cstheme="minorHAnsi"/>
          <w:bCs/>
          <w:sz w:val="24"/>
          <w:szCs w:val="24"/>
        </w:rPr>
        <w:t xml:space="preserve"> will advance a reuse strategy developed through years of collaborative planning. Following the </w:t>
      </w:r>
      <w:r w:rsidR="00605E7E" w:rsidRPr="000B67FD">
        <w:rPr>
          <w:rFonts w:cstheme="minorHAnsi"/>
          <w:bCs/>
          <w:sz w:val="24"/>
          <w:szCs w:val="24"/>
        </w:rPr>
        <w:t>paper mill</w:t>
      </w:r>
      <w:r w:rsidR="00AC1F84" w:rsidRPr="000B67FD">
        <w:rPr>
          <w:rFonts w:cstheme="minorHAnsi"/>
          <w:bCs/>
          <w:sz w:val="24"/>
          <w:szCs w:val="24"/>
        </w:rPr>
        <w:t xml:space="preserve"> closure, Oregon City, Clackamas County, Metro</w:t>
      </w:r>
      <w:r w:rsidR="00B757E7" w:rsidRPr="000B67FD">
        <w:rPr>
          <w:rFonts w:cstheme="minorHAnsi"/>
          <w:bCs/>
          <w:sz w:val="24"/>
          <w:szCs w:val="24"/>
        </w:rPr>
        <w:t xml:space="preserve"> (regional planning agency)</w:t>
      </w:r>
      <w:r w:rsidR="00AC1F84" w:rsidRPr="000B67FD">
        <w:rPr>
          <w:rFonts w:cstheme="minorHAnsi"/>
          <w:bCs/>
          <w:sz w:val="24"/>
          <w:szCs w:val="24"/>
        </w:rPr>
        <w:t xml:space="preserve">, state agencies, and the </w:t>
      </w:r>
      <w:r w:rsidR="00B757E7" w:rsidRPr="000B67FD">
        <w:rPr>
          <w:rFonts w:cstheme="minorHAnsi"/>
          <w:bCs/>
          <w:sz w:val="24"/>
          <w:szCs w:val="24"/>
        </w:rPr>
        <w:t>Tribe</w:t>
      </w:r>
      <w:r w:rsidR="00AC1F84" w:rsidRPr="000B67FD">
        <w:rPr>
          <w:rFonts w:cstheme="minorHAnsi"/>
          <w:bCs/>
          <w:sz w:val="24"/>
          <w:szCs w:val="24"/>
        </w:rPr>
        <w:t xml:space="preserve"> launched the Willamette Falls Legacy Project. This partnership led robust engagement beginning in 2013, involving thousands of Oregonians and resulting in </w:t>
      </w:r>
      <w:r w:rsidR="00D07EAE" w:rsidRPr="000B67FD">
        <w:rPr>
          <w:rFonts w:cstheme="minorHAnsi"/>
          <w:bCs/>
          <w:sz w:val="24"/>
          <w:szCs w:val="24"/>
        </w:rPr>
        <w:t>4</w:t>
      </w:r>
      <w:r w:rsidR="00AC1F84" w:rsidRPr="000B67FD">
        <w:rPr>
          <w:rFonts w:cstheme="minorHAnsi"/>
          <w:bCs/>
          <w:sz w:val="24"/>
          <w:szCs w:val="24"/>
        </w:rPr>
        <w:t xml:space="preserve"> guiding </w:t>
      </w:r>
      <w:r w:rsidR="00D07EAE" w:rsidRPr="000B67FD">
        <w:rPr>
          <w:rFonts w:cstheme="minorHAnsi"/>
          <w:bCs/>
          <w:sz w:val="24"/>
          <w:szCs w:val="24"/>
        </w:rPr>
        <w:t xml:space="preserve">Site </w:t>
      </w:r>
      <w:r w:rsidR="007B2605" w:rsidRPr="000B67FD">
        <w:rPr>
          <w:rFonts w:cstheme="minorHAnsi"/>
          <w:bCs/>
          <w:sz w:val="24"/>
          <w:szCs w:val="24"/>
        </w:rPr>
        <w:t xml:space="preserve">reuse </w:t>
      </w:r>
      <w:r w:rsidR="00AC1F84" w:rsidRPr="000B67FD">
        <w:rPr>
          <w:rFonts w:cstheme="minorHAnsi"/>
          <w:bCs/>
          <w:sz w:val="24"/>
          <w:szCs w:val="24"/>
        </w:rPr>
        <w:t xml:space="preserve">principles: </w:t>
      </w:r>
      <w:r w:rsidR="00093395" w:rsidRPr="000B67FD">
        <w:rPr>
          <w:rFonts w:cstheme="minorHAnsi"/>
          <w:bCs/>
          <w:sz w:val="24"/>
          <w:szCs w:val="24"/>
        </w:rPr>
        <w:t xml:space="preserve">economic revitalization, </w:t>
      </w:r>
      <w:r w:rsidR="00AC1F84" w:rsidRPr="000B67FD">
        <w:rPr>
          <w:rFonts w:cstheme="minorHAnsi"/>
          <w:bCs/>
          <w:sz w:val="24"/>
          <w:szCs w:val="24"/>
        </w:rPr>
        <w:t xml:space="preserve">historic and cultural interpretation, public access, </w:t>
      </w:r>
      <w:r w:rsidR="00093395" w:rsidRPr="000B67FD">
        <w:rPr>
          <w:rFonts w:cstheme="minorHAnsi"/>
          <w:bCs/>
          <w:sz w:val="24"/>
          <w:szCs w:val="24"/>
        </w:rPr>
        <w:t xml:space="preserve">and </w:t>
      </w:r>
      <w:r w:rsidR="00742400" w:rsidRPr="000B67FD">
        <w:rPr>
          <w:rFonts w:cstheme="minorHAnsi"/>
          <w:bCs/>
          <w:sz w:val="24"/>
          <w:szCs w:val="24"/>
        </w:rPr>
        <w:t>environmental health</w:t>
      </w:r>
      <w:r w:rsidR="00AC1F84" w:rsidRPr="000B67FD">
        <w:rPr>
          <w:rFonts w:cstheme="minorHAnsi"/>
          <w:bCs/>
          <w:sz w:val="24"/>
          <w:szCs w:val="24"/>
        </w:rPr>
        <w:t>.</w:t>
      </w:r>
    </w:p>
    <w:p w14:paraId="071263EF" w14:textId="1A374E2F" w:rsidR="00D57A0D" w:rsidRPr="000B67FD" w:rsidRDefault="00AC1F84" w:rsidP="66634F82">
      <w:pPr>
        <w:widowControl w:val="0"/>
        <w:spacing w:before="60" w:after="0" w:line="240" w:lineRule="exact"/>
        <w:rPr>
          <w:sz w:val="24"/>
          <w:szCs w:val="24"/>
        </w:rPr>
      </w:pPr>
      <w:r w:rsidRPr="66634F82">
        <w:rPr>
          <w:sz w:val="24"/>
          <w:szCs w:val="24"/>
        </w:rPr>
        <w:t xml:space="preserve">Building on these principles, a </w:t>
      </w:r>
      <w:r w:rsidRPr="66634F82">
        <w:rPr>
          <w:sz w:val="24"/>
          <w:szCs w:val="24"/>
          <w:u w:val="single"/>
        </w:rPr>
        <w:t>Framework Master Plan</w:t>
      </w:r>
      <w:r w:rsidRPr="66634F82">
        <w:rPr>
          <w:sz w:val="24"/>
          <w:szCs w:val="24"/>
        </w:rPr>
        <w:t xml:space="preserve"> (2014) </w:t>
      </w:r>
      <w:r w:rsidR="00691F11" w:rsidRPr="66634F82">
        <w:rPr>
          <w:sz w:val="24"/>
          <w:szCs w:val="24"/>
        </w:rPr>
        <w:t>established</w:t>
      </w:r>
      <w:r w:rsidRPr="66634F82">
        <w:rPr>
          <w:sz w:val="24"/>
          <w:szCs w:val="24"/>
        </w:rPr>
        <w:t xml:space="preserve"> a mixed-use </w:t>
      </w:r>
      <w:r w:rsidRPr="66634F82">
        <w:rPr>
          <w:sz w:val="24"/>
          <w:szCs w:val="24"/>
          <w:u w:val="single"/>
        </w:rPr>
        <w:t>Willamette Falls Downtown zone</w:t>
      </w:r>
      <w:r w:rsidR="00E24156" w:rsidRPr="66634F82">
        <w:rPr>
          <w:sz w:val="24"/>
          <w:szCs w:val="24"/>
        </w:rPr>
        <w:t xml:space="preserve"> in the Target Area</w:t>
      </w:r>
      <w:r w:rsidRPr="66634F82">
        <w:rPr>
          <w:sz w:val="24"/>
          <w:szCs w:val="24"/>
        </w:rPr>
        <w:t xml:space="preserve">, replacing the Site’s former industrial zoning. Subsequent efforts included a </w:t>
      </w:r>
      <w:r w:rsidRPr="66634F82">
        <w:rPr>
          <w:sz w:val="24"/>
          <w:szCs w:val="24"/>
          <w:u w:val="single"/>
        </w:rPr>
        <w:t>Catalytic Value Study</w:t>
      </w:r>
      <w:r w:rsidRPr="66634F82">
        <w:rPr>
          <w:sz w:val="24"/>
          <w:szCs w:val="24"/>
        </w:rPr>
        <w:t xml:space="preserve"> (2015), </w:t>
      </w:r>
      <w:r w:rsidR="00E548B1" w:rsidRPr="66634F82">
        <w:rPr>
          <w:sz w:val="24"/>
          <w:szCs w:val="24"/>
        </w:rPr>
        <w:t>a</w:t>
      </w:r>
      <w:r w:rsidRPr="66634F82">
        <w:rPr>
          <w:sz w:val="24"/>
          <w:szCs w:val="24"/>
        </w:rPr>
        <w:t xml:space="preserve"> </w:t>
      </w:r>
      <w:r w:rsidRPr="66634F82">
        <w:rPr>
          <w:sz w:val="24"/>
          <w:szCs w:val="24"/>
          <w:u w:val="single"/>
        </w:rPr>
        <w:t>Riverwalk Master Plan</w:t>
      </w:r>
      <w:r w:rsidRPr="66634F82">
        <w:rPr>
          <w:sz w:val="24"/>
          <w:szCs w:val="24"/>
        </w:rPr>
        <w:t xml:space="preserve"> (2018), and a </w:t>
      </w:r>
      <w:r w:rsidRPr="66634F82">
        <w:rPr>
          <w:sz w:val="24"/>
          <w:szCs w:val="24"/>
          <w:u w:val="single"/>
        </w:rPr>
        <w:t>Roadmap to Redevelopment</w:t>
      </w:r>
      <w:r w:rsidRPr="66634F82">
        <w:rPr>
          <w:sz w:val="24"/>
          <w:szCs w:val="24"/>
        </w:rPr>
        <w:t xml:space="preserve"> (2018), each shaped by input from government, business, nonprofits, and </w:t>
      </w:r>
      <w:r w:rsidR="00F27094" w:rsidRPr="66634F82">
        <w:rPr>
          <w:sz w:val="24"/>
          <w:szCs w:val="24"/>
        </w:rPr>
        <w:t>the community</w:t>
      </w:r>
      <w:r w:rsidRPr="66634F82">
        <w:rPr>
          <w:sz w:val="24"/>
          <w:szCs w:val="24"/>
        </w:rPr>
        <w:t>.</w:t>
      </w:r>
      <w:r w:rsidR="00E65361" w:rsidRPr="66634F82">
        <w:rPr>
          <w:sz w:val="24"/>
          <w:szCs w:val="24"/>
        </w:rPr>
        <w:t xml:space="preserve"> The Tribe advanced these plans in the </w:t>
      </w:r>
      <w:proofErr w:type="spellStart"/>
      <w:r w:rsidR="00E65361" w:rsidRPr="66634F82">
        <w:rPr>
          <w:sz w:val="24"/>
          <w:szCs w:val="24"/>
          <w:u w:val="single"/>
        </w:rPr>
        <w:t>Tumwata</w:t>
      </w:r>
      <w:proofErr w:type="spellEnd"/>
      <w:r w:rsidR="00E65361" w:rsidRPr="66634F82">
        <w:rPr>
          <w:sz w:val="24"/>
          <w:szCs w:val="24"/>
          <w:u w:val="single"/>
        </w:rPr>
        <w:t xml:space="preserve"> Village Master Plan</w:t>
      </w:r>
      <w:r w:rsidR="00FE3509" w:rsidRPr="66634F82">
        <w:rPr>
          <w:rStyle w:val="FootnoteReference"/>
          <w:sz w:val="24"/>
          <w:szCs w:val="24"/>
        </w:rPr>
        <w:footnoteReference w:id="1"/>
      </w:r>
      <w:r w:rsidR="000B4B16" w:rsidRPr="66634F82">
        <w:rPr>
          <w:sz w:val="24"/>
          <w:szCs w:val="24"/>
        </w:rPr>
        <w:t xml:space="preserve"> that</w:t>
      </w:r>
      <w:r w:rsidRPr="66634F82">
        <w:rPr>
          <w:sz w:val="24"/>
          <w:szCs w:val="24"/>
        </w:rPr>
        <w:t xml:space="preserve"> </w:t>
      </w:r>
      <w:r w:rsidR="000477B2" w:rsidRPr="66634F82">
        <w:rPr>
          <w:sz w:val="24"/>
          <w:szCs w:val="24"/>
        </w:rPr>
        <w:t>hones the vision of</w:t>
      </w:r>
      <w:r w:rsidR="00E01E16" w:rsidRPr="66634F82">
        <w:rPr>
          <w:sz w:val="24"/>
          <w:szCs w:val="24"/>
        </w:rPr>
        <w:t xml:space="preserve"> the Site</w:t>
      </w:r>
      <w:r w:rsidR="00E551EC" w:rsidRPr="66634F82">
        <w:rPr>
          <w:sz w:val="24"/>
          <w:szCs w:val="24"/>
        </w:rPr>
        <w:t xml:space="preserve">. </w:t>
      </w:r>
      <w:r w:rsidR="00D57A0D" w:rsidRPr="66634F82">
        <w:rPr>
          <w:sz w:val="24"/>
          <w:szCs w:val="24"/>
        </w:rPr>
        <w:t xml:space="preserve">In 2025, the OR Dept. of Land Conservation and Development awarded the Tribe an Achievement in Community Engagement Award </w:t>
      </w:r>
      <w:r w:rsidR="00B716E1" w:rsidRPr="66634F82">
        <w:rPr>
          <w:sz w:val="24"/>
          <w:szCs w:val="24"/>
        </w:rPr>
        <w:t>for the robust</w:t>
      </w:r>
      <w:r w:rsidR="00D57A0D" w:rsidRPr="66634F82">
        <w:rPr>
          <w:sz w:val="24"/>
          <w:szCs w:val="24"/>
        </w:rPr>
        <w:t xml:space="preserve"> public engagement for the Master Plan, and t</w:t>
      </w:r>
      <w:r w:rsidR="00D20289" w:rsidRPr="66634F82">
        <w:rPr>
          <w:sz w:val="24"/>
          <w:szCs w:val="24"/>
        </w:rPr>
        <w:t>he Master Plan was formally adopted by the City of Oregon City</w:t>
      </w:r>
      <w:r w:rsidR="00D57A0D" w:rsidRPr="66634F82">
        <w:rPr>
          <w:sz w:val="24"/>
          <w:szCs w:val="24"/>
        </w:rPr>
        <w:t>.</w:t>
      </w:r>
    </w:p>
    <w:p w14:paraId="05AE04B2" w14:textId="1B0ACB92" w:rsidR="004836E8" w:rsidRPr="000B67FD" w:rsidRDefault="00E551EC" w:rsidP="00786186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</w:rPr>
        <w:t xml:space="preserve">The </w:t>
      </w:r>
      <w:r w:rsidR="00CD2822" w:rsidRPr="000B67FD">
        <w:rPr>
          <w:rFonts w:cstheme="minorHAnsi"/>
          <w:bCs/>
          <w:sz w:val="24"/>
          <w:szCs w:val="24"/>
        </w:rPr>
        <w:t>Master Plan envisions</w:t>
      </w:r>
      <w:r w:rsidR="000D0CA5" w:rsidRPr="000B67FD">
        <w:rPr>
          <w:rFonts w:cstheme="minorHAnsi"/>
          <w:bCs/>
          <w:sz w:val="24"/>
          <w:szCs w:val="24"/>
        </w:rPr>
        <w:t xml:space="preserve"> </w:t>
      </w:r>
      <w:r w:rsidR="00934AD1" w:rsidRPr="000B67FD">
        <w:rPr>
          <w:rFonts w:cstheme="minorHAnsi"/>
          <w:bCs/>
          <w:sz w:val="24"/>
          <w:szCs w:val="24"/>
        </w:rPr>
        <w:t>the site as a regional destination</w:t>
      </w:r>
      <w:r w:rsidR="000D0CA5" w:rsidRPr="000B67FD">
        <w:rPr>
          <w:rFonts w:cstheme="minorHAnsi"/>
          <w:bCs/>
          <w:sz w:val="24"/>
          <w:szCs w:val="24"/>
        </w:rPr>
        <w:t xml:space="preserve"> with </w:t>
      </w:r>
      <w:r w:rsidR="00934AD1" w:rsidRPr="000B67FD">
        <w:rPr>
          <w:rFonts w:cstheme="minorHAnsi"/>
          <w:bCs/>
          <w:sz w:val="24"/>
          <w:szCs w:val="24"/>
        </w:rPr>
        <w:t>residences</w:t>
      </w:r>
      <w:r w:rsidR="000D0CA5" w:rsidRPr="000B67FD">
        <w:rPr>
          <w:rFonts w:cstheme="minorHAnsi"/>
          <w:bCs/>
          <w:sz w:val="24"/>
          <w:szCs w:val="24"/>
        </w:rPr>
        <w:t>, office</w:t>
      </w:r>
      <w:r w:rsidR="00934AD1" w:rsidRPr="000B67FD">
        <w:rPr>
          <w:rFonts w:cstheme="minorHAnsi"/>
          <w:bCs/>
          <w:sz w:val="24"/>
          <w:szCs w:val="24"/>
        </w:rPr>
        <w:t>s</w:t>
      </w:r>
      <w:r w:rsidR="000D0CA5" w:rsidRPr="000B67FD">
        <w:rPr>
          <w:rFonts w:cstheme="minorHAnsi"/>
          <w:bCs/>
          <w:sz w:val="24"/>
          <w:szCs w:val="24"/>
        </w:rPr>
        <w:t>, recreational</w:t>
      </w:r>
      <w:r w:rsidR="00934AD1" w:rsidRPr="000B67FD">
        <w:rPr>
          <w:rFonts w:cstheme="minorHAnsi"/>
          <w:bCs/>
          <w:sz w:val="24"/>
          <w:szCs w:val="24"/>
        </w:rPr>
        <w:t xml:space="preserve"> </w:t>
      </w:r>
      <w:r w:rsidR="00055470" w:rsidRPr="000B67FD">
        <w:rPr>
          <w:rFonts w:cstheme="minorHAnsi"/>
          <w:bCs/>
          <w:sz w:val="24"/>
          <w:szCs w:val="24"/>
        </w:rPr>
        <w:t xml:space="preserve">and hospitality </w:t>
      </w:r>
      <w:r w:rsidR="00934AD1" w:rsidRPr="000B67FD">
        <w:rPr>
          <w:rFonts w:cstheme="minorHAnsi"/>
          <w:bCs/>
          <w:sz w:val="24"/>
          <w:szCs w:val="24"/>
        </w:rPr>
        <w:t>amenities</w:t>
      </w:r>
      <w:r w:rsidR="00055470" w:rsidRPr="000B67FD">
        <w:rPr>
          <w:rFonts w:cstheme="minorHAnsi"/>
          <w:bCs/>
          <w:sz w:val="24"/>
          <w:szCs w:val="24"/>
        </w:rPr>
        <w:t>, and natural areas. T</w:t>
      </w:r>
      <w:r w:rsidR="00CD2822" w:rsidRPr="000B67FD">
        <w:rPr>
          <w:rFonts w:cstheme="minorHAnsi"/>
          <w:bCs/>
          <w:sz w:val="24"/>
          <w:szCs w:val="24"/>
        </w:rPr>
        <w:t xml:space="preserve">he </w:t>
      </w:r>
      <w:r w:rsidRPr="000B67FD">
        <w:rPr>
          <w:rFonts w:cstheme="minorHAnsi"/>
          <w:bCs/>
          <w:sz w:val="24"/>
          <w:szCs w:val="24"/>
        </w:rPr>
        <w:t xml:space="preserve">northern end of the Site </w:t>
      </w:r>
      <w:r w:rsidR="00055470" w:rsidRPr="000B67FD">
        <w:rPr>
          <w:rFonts w:cstheme="minorHAnsi"/>
          <w:bCs/>
          <w:sz w:val="24"/>
          <w:szCs w:val="24"/>
        </w:rPr>
        <w:t xml:space="preserve">will be </w:t>
      </w:r>
      <w:r w:rsidRPr="000B67FD">
        <w:rPr>
          <w:rFonts w:cstheme="minorHAnsi"/>
          <w:bCs/>
          <w:sz w:val="24"/>
          <w:szCs w:val="24"/>
        </w:rPr>
        <w:t xml:space="preserve">a vibrant extension of downtown Oregon City, </w:t>
      </w:r>
      <w:r w:rsidR="00E07CFE" w:rsidRPr="000B67FD">
        <w:rPr>
          <w:rFonts w:cstheme="minorHAnsi"/>
          <w:bCs/>
          <w:sz w:val="24"/>
          <w:szCs w:val="24"/>
        </w:rPr>
        <w:t xml:space="preserve">with </w:t>
      </w:r>
      <w:r w:rsidR="00C53CB0" w:rsidRPr="000B67FD">
        <w:rPr>
          <w:rFonts w:cstheme="minorHAnsi"/>
          <w:sz w:val="24"/>
          <w:szCs w:val="24"/>
        </w:rPr>
        <w:t>a green gateway</w:t>
      </w:r>
      <w:r w:rsidR="000100DC" w:rsidRPr="000B67FD">
        <w:rPr>
          <w:rFonts w:cstheme="minorHAnsi"/>
          <w:sz w:val="24"/>
          <w:szCs w:val="24"/>
        </w:rPr>
        <w:t xml:space="preserve"> leading to </w:t>
      </w:r>
      <w:r w:rsidR="009D7800" w:rsidRPr="000B67FD">
        <w:rPr>
          <w:rFonts w:cstheme="minorHAnsi"/>
          <w:sz w:val="24"/>
          <w:szCs w:val="24"/>
        </w:rPr>
        <w:t xml:space="preserve">residences, </w:t>
      </w:r>
      <w:r w:rsidRPr="000B67FD">
        <w:rPr>
          <w:rFonts w:cstheme="minorHAnsi"/>
          <w:bCs/>
          <w:sz w:val="24"/>
          <w:szCs w:val="24"/>
        </w:rPr>
        <w:t xml:space="preserve">shops, restaurants, and offices connected by pedestrian- and bike-friendly streets. </w:t>
      </w:r>
      <w:r w:rsidR="00F106EC" w:rsidRPr="000B67FD">
        <w:rPr>
          <w:rFonts w:cstheme="minorHAnsi"/>
          <w:bCs/>
          <w:sz w:val="24"/>
          <w:szCs w:val="24"/>
        </w:rPr>
        <w:t>F</w:t>
      </w:r>
      <w:r w:rsidR="002033E4" w:rsidRPr="000B67FD">
        <w:rPr>
          <w:rFonts w:cstheme="minorHAnsi"/>
          <w:bCs/>
          <w:sz w:val="24"/>
          <w:szCs w:val="24"/>
        </w:rPr>
        <w:t>rom north to south, the</w:t>
      </w:r>
      <w:r w:rsidR="00F106EC" w:rsidRPr="000B67FD">
        <w:rPr>
          <w:rFonts w:cstheme="minorHAnsi"/>
          <w:bCs/>
          <w:sz w:val="24"/>
          <w:szCs w:val="24"/>
        </w:rPr>
        <w:t xml:space="preserve"> Site’s</w:t>
      </w:r>
      <w:r w:rsidR="002033E4" w:rsidRPr="000B67FD">
        <w:rPr>
          <w:rFonts w:cstheme="minorHAnsi"/>
          <w:bCs/>
          <w:sz w:val="24"/>
          <w:szCs w:val="24"/>
        </w:rPr>
        <w:t xml:space="preserve"> character</w:t>
      </w:r>
      <w:r w:rsidR="00F106EC" w:rsidRPr="000B67FD">
        <w:rPr>
          <w:rFonts w:cstheme="minorHAnsi"/>
          <w:bCs/>
          <w:sz w:val="24"/>
          <w:szCs w:val="24"/>
        </w:rPr>
        <w:t xml:space="preserve"> will</w:t>
      </w:r>
      <w:r w:rsidR="002033E4" w:rsidRPr="000B67FD">
        <w:rPr>
          <w:rFonts w:cstheme="minorHAnsi"/>
          <w:bCs/>
          <w:sz w:val="24"/>
          <w:szCs w:val="24"/>
        </w:rPr>
        <w:t xml:space="preserve"> </w:t>
      </w:r>
      <w:r w:rsidR="00635B4F" w:rsidRPr="000B67FD">
        <w:rPr>
          <w:rFonts w:cstheme="minorHAnsi"/>
          <w:bCs/>
          <w:sz w:val="24"/>
          <w:szCs w:val="24"/>
        </w:rPr>
        <w:t>evolve</w:t>
      </w:r>
      <w:r w:rsidR="00604C4C" w:rsidRPr="000B67FD">
        <w:rPr>
          <w:rFonts w:cstheme="minorHAnsi"/>
          <w:bCs/>
          <w:sz w:val="24"/>
          <w:szCs w:val="24"/>
        </w:rPr>
        <w:t xml:space="preserve"> from</w:t>
      </w:r>
      <w:r w:rsidR="002033E4" w:rsidRPr="000B67FD">
        <w:rPr>
          <w:rFonts w:cstheme="minorHAnsi"/>
          <w:bCs/>
          <w:sz w:val="24"/>
          <w:szCs w:val="24"/>
        </w:rPr>
        <w:t xml:space="preserve"> green urban form to </w:t>
      </w:r>
      <w:r w:rsidR="00604C4C" w:rsidRPr="000B67FD">
        <w:rPr>
          <w:rFonts w:cstheme="minorHAnsi"/>
          <w:bCs/>
          <w:sz w:val="24"/>
          <w:szCs w:val="24"/>
        </w:rPr>
        <w:t>a</w:t>
      </w:r>
      <w:r w:rsidR="00CE17A4" w:rsidRPr="000B67FD">
        <w:rPr>
          <w:rFonts w:cstheme="minorHAnsi"/>
          <w:bCs/>
          <w:sz w:val="24"/>
          <w:szCs w:val="24"/>
        </w:rPr>
        <w:t xml:space="preserve"> pedestrian-</w:t>
      </w:r>
      <w:r w:rsidR="000633FD" w:rsidRPr="000B67FD">
        <w:rPr>
          <w:rFonts w:cstheme="minorHAnsi"/>
          <w:bCs/>
          <w:sz w:val="24"/>
          <w:szCs w:val="24"/>
        </w:rPr>
        <w:t>centered</w:t>
      </w:r>
      <w:r w:rsidR="00604C4C" w:rsidRPr="000B67FD">
        <w:rPr>
          <w:rFonts w:cstheme="minorHAnsi"/>
          <w:bCs/>
          <w:sz w:val="24"/>
          <w:szCs w:val="24"/>
        </w:rPr>
        <w:t xml:space="preserve"> </w:t>
      </w:r>
      <w:r w:rsidR="00CE17A4" w:rsidRPr="000B67FD">
        <w:rPr>
          <w:rFonts w:cstheme="minorHAnsi"/>
          <w:bCs/>
          <w:sz w:val="24"/>
          <w:szCs w:val="24"/>
        </w:rPr>
        <w:t xml:space="preserve">area with gathering and </w:t>
      </w:r>
      <w:r w:rsidR="00604C4C" w:rsidRPr="000B67FD">
        <w:rPr>
          <w:rFonts w:cstheme="minorHAnsi"/>
          <w:bCs/>
          <w:sz w:val="24"/>
          <w:szCs w:val="24"/>
        </w:rPr>
        <w:t>park</w:t>
      </w:r>
      <w:r w:rsidR="00635B4F" w:rsidRPr="000B67FD">
        <w:rPr>
          <w:rFonts w:cstheme="minorHAnsi"/>
          <w:bCs/>
          <w:sz w:val="24"/>
          <w:szCs w:val="24"/>
        </w:rPr>
        <w:t xml:space="preserve"> areas</w:t>
      </w:r>
      <w:r w:rsidR="000633FD" w:rsidRPr="000B67FD">
        <w:rPr>
          <w:rFonts w:cstheme="minorHAnsi"/>
          <w:bCs/>
          <w:sz w:val="24"/>
          <w:szCs w:val="24"/>
        </w:rPr>
        <w:t>,</w:t>
      </w:r>
      <w:r w:rsidR="00565DA2" w:rsidRPr="000B67FD">
        <w:rPr>
          <w:rFonts w:cstheme="minorHAnsi"/>
          <w:bCs/>
          <w:sz w:val="24"/>
          <w:szCs w:val="24"/>
        </w:rPr>
        <w:t xml:space="preserve"> a hotel</w:t>
      </w:r>
      <w:r w:rsidR="000633FD" w:rsidRPr="000B67FD">
        <w:rPr>
          <w:rFonts w:cstheme="minorHAnsi"/>
          <w:bCs/>
          <w:sz w:val="24"/>
          <w:szCs w:val="24"/>
        </w:rPr>
        <w:t>,</w:t>
      </w:r>
      <w:r w:rsidR="00565DA2" w:rsidRPr="000B67FD">
        <w:rPr>
          <w:rFonts w:cstheme="minorHAnsi"/>
          <w:bCs/>
          <w:sz w:val="24"/>
          <w:szCs w:val="24"/>
        </w:rPr>
        <w:t xml:space="preserve"> and cafes</w:t>
      </w:r>
      <w:r w:rsidR="002033E4" w:rsidRPr="000B67FD">
        <w:rPr>
          <w:rFonts w:cstheme="minorHAnsi"/>
          <w:bCs/>
          <w:sz w:val="24"/>
          <w:szCs w:val="24"/>
        </w:rPr>
        <w:t xml:space="preserve">. </w:t>
      </w:r>
      <w:r w:rsidR="00215945" w:rsidRPr="000B67FD">
        <w:rPr>
          <w:rFonts w:cstheme="minorHAnsi"/>
          <w:bCs/>
          <w:sz w:val="24"/>
          <w:szCs w:val="24"/>
        </w:rPr>
        <w:t>P</w:t>
      </w:r>
      <w:r w:rsidR="00AC1F84" w:rsidRPr="000B67FD">
        <w:rPr>
          <w:rFonts w:cstheme="minorHAnsi"/>
          <w:bCs/>
          <w:sz w:val="24"/>
          <w:szCs w:val="24"/>
        </w:rPr>
        <w:t xml:space="preserve">ublic access to </w:t>
      </w:r>
      <w:r w:rsidR="00215945" w:rsidRPr="000B67FD">
        <w:rPr>
          <w:rFonts w:cstheme="minorHAnsi"/>
          <w:bCs/>
          <w:sz w:val="24"/>
          <w:szCs w:val="24"/>
        </w:rPr>
        <w:t xml:space="preserve">view </w:t>
      </w:r>
      <w:r w:rsidR="0026087D" w:rsidRPr="000B67FD">
        <w:rPr>
          <w:rFonts w:cstheme="minorHAnsi"/>
          <w:bCs/>
          <w:sz w:val="24"/>
          <w:szCs w:val="24"/>
        </w:rPr>
        <w:t>the</w:t>
      </w:r>
      <w:r w:rsidR="00AC1F84" w:rsidRPr="000B67FD">
        <w:rPr>
          <w:rFonts w:cstheme="minorHAnsi"/>
          <w:bCs/>
          <w:sz w:val="24"/>
          <w:szCs w:val="24"/>
        </w:rPr>
        <w:t xml:space="preserve"> Falls </w:t>
      </w:r>
      <w:r w:rsidR="006619BC" w:rsidRPr="000B67FD">
        <w:rPr>
          <w:rFonts w:cstheme="minorHAnsi"/>
          <w:bCs/>
          <w:sz w:val="24"/>
          <w:szCs w:val="24"/>
        </w:rPr>
        <w:t xml:space="preserve">will be restored </w:t>
      </w:r>
      <w:r w:rsidR="00AC1F84" w:rsidRPr="000B67FD">
        <w:rPr>
          <w:rFonts w:cstheme="minorHAnsi"/>
          <w:bCs/>
          <w:sz w:val="24"/>
          <w:szCs w:val="24"/>
        </w:rPr>
        <w:t>for the first time in over a century.</w:t>
      </w:r>
    </w:p>
    <w:p w14:paraId="1DAEC747" w14:textId="1116CF5A" w:rsidR="006619BC" w:rsidRPr="000B67FD" w:rsidRDefault="002069C5" w:rsidP="00786186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</w:rPr>
        <w:t>T</w:t>
      </w:r>
      <w:r w:rsidRPr="002069C5">
        <w:rPr>
          <w:rFonts w:cstheme="minorHAnsi"/>
          <w:bCs/>
          <w:sz w:val="24"/>
          <w:szCs w:val="24"/>
        </w:rPr>
        <w:t xml:space="preserve">he </w:t>
      </w:r>
      <w:r w:rsidR="00221B82">
        <w:rPr>
          <w:rFonts w:cstheme="minorHAnsi"/>
          <w:bCs/>
          <w:sz w:val="24"/>
          <w:szCs w:val="24"/>
        </w:rPr>
        <w:t xml:space="preserve">redeveloped </w:t>
      </w:r>
      <w:r w:rsidRPr="002069C5">
        <w:rPr>
          <w:rFonts w:cstheme="minorHAnsi"/>
          <w:bCs/>
          <w:sz w:val="24"/>
          <w:szCs w:val="24"/>
        </w:rPr>
        <w:t xml:space="preserve">southern </w:t>
      </w:r>
      <w:r w:rsidR="00123AED">
        <w:rPr>
          <w:rFonts w:cstheme="minorHAnsi"/>
          <w:bCs/>
          <w:sz w:val="24"/>
          <w:szCs w:val="24"/>
        </w:rPr>
        <w:t>area</w:t>
      </w:r>
      <w:r w:rsidRPr="002069C5">
        <w:rPr>
          <w:rFonts w:cstheme="minorHAnsi"/>
          <w:bCs/>
          <w:sz w:val="24"/>
          <w:szCs w:val="24"/>
        </w:rPr>
        <w:t xml:space="preserve"> of the </w:t>
      </w:r>
      <w:r w:rsidRPr="000B67FD">
        <w:rPr>
          <w:rFonts w:cstheme="minorHAnsi"/>
          <w:bCs/>
          <w:sz w:val="24"/>
          <w:szCs w:val="24"/>
        </w:rPr>
        <w:t>S</w:t>
      </w:r>
      <w:r w:rsidRPr="002069C5">
        <w:rPr>
          <w:rFonts w:cstheme="minorHAnsi"/>
          <w:bCs/>
          <w:sz w:val="24"/>
          <w:szCs w:val="24"/>
        </w:rPr>
        <w:t xml:space="preserve">ite, located </w:t>
      </w:r>
      <w:r w:rsidRPr="000B67FD">
        <w:rPr>
          <w:rFonts w:cstheme="minorHAnsi"/>
          <w:bCs/>
          <w:sz w:val="24"/>
          <w:szCs w:val="24"/>
        </w:rPr>
        <w:t>i</w:t>
      </w:r>
      <w:r w:rsidRPr="002069C5">
        <w:rPr>
          <w:rFonts w:cstheme="minorHAnsi"/>
          <w:bCs/>
          <w:sz w:val="24"/>
          <w:szCs w:val="24"/>
        </w:rPr>
        <w:t xml:space="preserve">n a </w:t>
      </w:r>
      <w:r w:rsidRPr="002069C5">
        <w:rPr>
          <w:rFonts w:cstheme="minorHAnsi"/>
          <w:b/>
          <w:sz w:val="24"/>
          <w:szCs w:val="24"/>
        </w:rPr>
        <w:t>federally designated floodplain</w:t>
      </w:r>
      <w:r w:rsidRPr="002069C5">
        <w:rPr>
          <w:rFonts w:cstheme="minorHAnsi"/>
          <w:bCs/>
          <w:sz w:val="24"/>
          <w:szCs w:val="24"/>
        </w:rPr>
        <w:t xml:space="preserve">, will </w:t>
      </w:r>
      <w:r w:rsidR="00F2564F">
        <w:rPr>
          <w:rFonts w:cstheme="minorHAnsi"/>
          <w:bCs/>
          <w:sz w:val="24"/>
          <w:szCs w:val="24"/>
        </w:rPr>
        <w:t>include</w:t>
      </w:r>
      <w:r w:rsidRPr="002069C5">
        <w:rPr>
          <w:rFonts w:cstheme="minorHAnsi"/>
          <w:bCs/>
          <w:sz w:val="24"/>
          <w:szCs w:val="24"/>
        </w:rPr>
        <w:t xml:space="preserve"> stormwater management. The 2024 Grading and Floodplain </w:t>
      </w:r>
      <w:r w:rsidR="00221B82">
        <w:rPr>
          <w:rFonts w:cstheme="minorHAnsi"/>
          <w:bCs/>
          <w:sz w:val="24"/>
          <w:szCs w:val="24"/>
        </w:rPr>
        <w:t>Plan for the Site</w:t>
      </w:r>
      <w:r w:rsidRPr="002069C5">
        <w:rPr>
          <w:rFonts w:cstheme="minorHAnsi"/>
          <w:bCs/>
          <w:sz w:val="24"/>
          <w:szCs w:val="24"/>
        </w:rPr>
        <w:t xml:space="preserve"> outlines balancing cut-and-fill to achieve a net </w:t>
      </w:r>
      <w:r w:rsidR="0046035D">
        <w:rPr>
          <w:rFonts w:cstheme="minorHAnsi"/>
          <w:bCs/>
          <w:sz w:val="24"/>
          <w:szCs w:val="24"/>
        </w:rPr>
        <w:t xml:space="preserve">fill </w:t>
      </w:r>
      <w:r w:rsidRPr="002069C5">
        <w:rPr>
          <w:rFonts w:cstheme="minorHAnsi"/>
          <w:bCs/>
          <w:sz w:val="24"/>
          <w:szCs w:val="24"/>
        </w:rPr>
        <w:t xml:space="preserve">reduction and </w:t>
      </w:r>
      <w:r w:rsidR="0046035D">
        <w:rPr>
          <w:rFonts w:cstheme="minorHAnsi"/>
          <w:bCs/>
          <w:sz w:val="24"/>
          <w:szCs w:val="24"/>
        </w:rPr>
        <w:t>increase</w:t>
      </w:r>
      <w:r w:rsidRPr="002069C5">
        <w:rPr>
          <w:rFonts w:cstheme="minorHAnsi"/>
          <w:bCs/>
          <w:sz w:val="24"/>
          <w:szCs w:val="24"/>
        </w:rPr>
        <w:t xml:space="preserve"> floodplain capacity. </w:t>
      </w:r>
      <w:r w:rsidR="00F2564F">
        <w:rPr>
          <w:rFonts w:cstheme="minorHAnsi"/>
          <w:bCs/>
          <w:sz w:val="24"/>
          <w:szCs w:val="24"/>
        </w:rPr>
        <w:t>S</w:t>
      </w:r>
      <w:r w:rsidRPr="002069C5">
        <w:rPr>
          <w:rFonts w:cstheme="minorHAnsi"/>
          <w:bCs/>
          <w:sz w:val="24"/>
          <w:szCs w:val="24"/>
        </w:rPr>
        <w:t xml:space="preserve">trategies may include natural </w:t>
      </w:r>
      <w:r w:rsidR="00F2564F">
        <w:rPr>
          <w:rFonts w:cstheme="minorHAnsi"/>
          <w:bCs/>
          <w:sz w:val="24"/>
          <w:szCs w:val="24"/>
        </w:rPr>
        <w:t xml:space="preserve">stormwater </w:t>
      </w:r>
      <w:r w:rsidRPr="002069C5">
        <w:rPr>
          <w:rFonts w:cstheme="minorHAnsi"/>
          <w:bCs/>
          <w:sz w:val="24"/>
          <w:szCs w:val="24"/>
        </w:rPr>
        <w:t>treatment systems that reduce contaminants and reuse water for irrigation</w:t>
      </w:r>
      <w:r w:rsidR="00EB4BA4" w:rsidRPr="000B67FD">
        <w:rPr>
          <w:rFonts w:cstheme="minorHAnsi"/>
          <w:bCs/>
          <w:sz w:val="24"/>
          <w:szCs w:val="24"/>
        </w:rPr>
        <w:t>.</w:t>
      </w:r>
    </w:p>
    <w:p w14:paraId="607A5291" w14:textId="1252227A" w:rsidR="00961747" w:rsidRPr="000B67FD" w:rsidRDefault="000E3881" w:rsidP="00C17B42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</w:rPr>
        <w:t>The Site reuse</w:t>
      </w:r>
      <w:r w:rsidR="00AC1F84" w:rsidRPr="000B67FD">
        <w:rPr>
          <w:rFonts w:cstheme="minorHAnsi"/>
          <w:bCs/>
          <w:sz w:val="24"/>
          <w:szCs w:val="24"/>
        </w:rPr>
        <w:t xml:space="preserve"> strategy aligns with</w:t>
      </w:r>
      <w:r w:rsidR="00CC4F61" w:rsidRPr="000B67FD">
        <w:rPr>
          <w:rFonts w:cstheme="minorHAnsi"/>
          <w:bCs/>
          <w:sz w:val="24"/>
          <w:szCs w:val="24"/>
        </w:rPr>
        <w:t xml:space="preserve"> </w:t>
      </w:r>
      <w:r w:rsidR="00BE0028" w:rsidRPr="000B67FD">
        <w:rPr>
          <w:rFonts w:cstheme="minorHAnsi"/>
          <w:bCs/>
          <w:sz w:val="24"/>
          <w:szCs w:val="24"/>
        </w:rPr>
        <w:t>regional plans:</w:t>
      </w:r>
      <w:r w:rsidR="00AC1F84" w:rsidRPr="000B67FD">
        <w:rPr>
          <w:rFonts w:cstheme="minorHAnsi"/>
          <w:bCs/>
          <w:sz w:val="24"/>
          <w:szCs w:val="24"/>
        </w:rPr>
        <w:t xml:space="preserve"> </w:t>
      </w:r>
      <w:r w:rsidR="00AC1F84" w:rsidRPr="000B67FD">
        <w:rPr>
          <w:rFonts w:cstheme="minorHAnsi"/>
          <w:bCs/>
          <w:sz w:val="24"/>
          <w:szCs w:val="24"/>
          <w:u w:val="single"/>
        </w:rPr>
        <w:t>Oregon City’s Comprehensive Plan</w:t>
      </w:r>
      <w:r w:rsidR="00E2071B" w:rsidRPr="000B67FD">
        <w:rPr>
          <w:rFonts w:cstheme="minorHAnsi"/>
          <w:bCs/>
          <w:sz w:val="24"/>
          <w:szCs w:val="24"/>
        </w:rPr>
        <w:t xml:space="preserve"> </w:t>
      </w:r>
      <w:r w:rsidR="00D0257F" w:rsidRPr="000B67FD">
        <w:rPr>
          <w:rFonts w:cstheme="minorHAnsi"/>
          <w:bCs/>
          <w:sz w:val="24"/>
          <w:szCs w:val="24"/>
        </w:rPr>
        <w:t xml:space="preserve">and </w:t>
      </w:r>
      <w:r w:rsidR="00E97680" w:rsidRPr="000B67FD">
        <w:rPr>
          <w:rFonts w:cstheme="minorHAnsi"/>
          <w:bCs/>
          <w:sz w:val="24"/>
          <w:szCs w:val="24"/>
          <w:u w:val="single"/>
        </w:rPr>
        <w:t>Downtown Urban Renewal Area</w:t>
      </w:r>
      <w:r w:rsidR="00E97680" w:rsidRPr="000B67FD">
        <w:rPr>
          <w:rFonts w:cstheme="minorHAnsi"/>
          <w:bCs/>
          <w:sz w:val="24"/>
          <w:szCs w:val="24"/>
        </w:rPr>
        <w:t xml:space="preserve"> </w:t>
      </w:r>
      <w:r w:rsidR="00E2071B" w:rsidRPr="000B67FD">
        <w:rPr>
          <w:rFonts w:cstheme="minorHAnsi"/>
          <w:bCs/>
          <w:sz w:val="24"/>
          <w:szCs w:val="24"/>
        </w:rPr>
        <w:t xml:space="preserve">prioritize </w:t>
      </w:r>
      <w:r w:rsidR="00CE3CCA" w:rsidRPr="000B67FD">
        <w:rPr>
          <w:rFonts w:cstheme="minorHAnsi"/>
          <w:bCs/>
          <w:sz w:val="24"/>
          <w:szCs w:val="24"/>
        </w:rPr>
        <w:t>Target Area</w:t>
      </w:r>
      <w:r w:rsidR="00E2071B" w:rsidRPr="000B67FD">
        <w:rPr>
          <w:rFonts w:cstheme="minorHAnsi"/>
          <w:bCs/>
          <w:sz w:val="24"/>
          <w:szCs w:val="24"/>
        </w:rPr>
        <w:t xml:space="preserve"> development for shopping, working, </w:t>
      </w:r>
      <w:r w:rsidR="00E97680" w:rsidRPr="000B67FD">
        <w:rPr>
          <w:rFonts w:cstheme="minorHAnsi"/>
          <w:bCs/>
          <w:sz w:val="24"/>
          <w:szCs w:val="24"/>
        </w:rPr>
        <w:t>tourism</w:t>
      </w:r>
      <w:r w:rsidR="00E2071B" w:rsidRPr="000B67FD">
        <w:rPr>
          <w:rFonts w:cstheme="minorHAnsi"/>
          <w:bCs/>
          <w:sz w:val="24"/>
          <w:szCs w:val="24"/>
        </w:rPr>
        <w:t xml:space="preserve"> and recreation, social interaction</w:t>
      </w:r>
      <w:r w:rsidR="00B2264D" w:rsidRPr="000B67FD">
        <w:rPr>
          <w:rFonts w:cstheme="minorHAnsi"/>
          <w:bCs/>
          <w:sz w:val="24"/>
          <w:szCs w:val="24"/>
        </w:rPr>
        <w:t>, with p</w:t>
      </w:r>
      <w:r w:rsidR="00E2071B" w:rsidRPr="000B67FD">
        <w:rPr>
          <w:rFonts w:cstheme="minorHAnsi"/>
          <w:bCs/>
          <w:sz w:val="24"/>
          <w:szCs w:val="24"/>
        </w:rPr>
        <w:t xml:space="preserve">edestrian and bicycle </w:t>
      </w:r>
      <w:r w:rsidR="008F2FB7" w:rsidRPr="000B67FD">
        <w:rPr>
          <w:rFonts w:cstheme="minorHAnsi"/>
          <w:bCs/>
          <w:sz w:val="24"/>
          <w:szCs w:val="24"/>
        </w:rPr>
        <w:t>access</w:t>
      </w:r>
      <w:r w:rsidR="00E2071B" w:rsidRPr="000B67FD">
        <w:rPr>
          <w:rFonts w:cstheme="minorHAnsi"/>
          <w:bCs/>
          <w:sz w:val="24"/>
          <w:szCs w:val="24"/>
        </w:rPr>
        <w:t xml:space="preserve">. </w:t>
      </w:r>
      <w:r w:rsidR="000563B7" w:rsidRPr="000B67FD">
        <w:rPr>
          <w:rFonts w:cstheme="minorHAnsi"/>
          <w:bCs/>
          <w:sz w:val="24"/>
          <w:szCs w:val="24"/>
        </w:rPr>
        <w:t xml:space="preserve">The </w:t>
      </w:r>
      <w:r w:rsidR="000563B7" w:rsidRPr="000B67FD">
        <w:rPr>
          <w:rFonts w:cstheme="minorHAnsi"/>
          <w:bCs/>
          <w:sz w:val="24"/>
          <w:szCs w:val="24"/>
          <w:u w:val="single"/>
        </w:rPr>
        <w:t>Oregon City Downtown Association</w:t>
      </w:r>
      <w:r w:rsidR="009C10D0" w:rsidRPr="000B67FD">
        <w:rPr>
          <w:rFonts w:cstheme="minorHAnsi"/>
          <w:bCs/>
          <w:sz w:val="24"/>
          <w:szCs w:val="24"/>
          <w:u w:val="single"/>
        </w:rPr>
        <w:t xml:space="preserve"> 2024 Strategic Plan</w:t>
      </w:r>
      <w:r w:rsidR="00DE66E3" w:rsidRPr="000B67FD">
        <w:rPr>
          <w:rFonts w:cstheme="minorHAnsi"/>
          <w:bCs/>
          <w:sz w:val="24"/>
          <w:szCs w:val="24"/>
        </w:rPr>
        <w:t xml:space="preserve"> developed through extensive community surveys</w:t>
      </w:r>
      <w:r w:rsidR="000563B7" w:rsidRPr="000B67FD">
        <w:rPr>
          <w:rFonts w:cstheme="minorHAnsi"/>
          <w:bCs/>
          <w:sz w:val="24"/>
          <w:szCs w:val="24"/>
        </w:rPr>
        <w:t xml:space="preserve"> identifies </w:t>
      </w:r>
      <w:r w:rsidR="0046240A" w:rsidRPr="000B67FD">
        <w:rPr>
          <w:rFonts w:cstheme="minorHAnsi"/>
          <w:bCs/>
          <w:sz w:val="24"/>
          <w:szCs w:val="24"/>
        </w:rPr>
        <w:t>under</w:t>
      </w:r>
      <w:r w:rsidR="00682CC1" w:rsidRPr="000B67FD">
        <w:rPr>
          <w:rFonts w:cstheme="minorHAnsi"/>
          <w:bCs/>
          <w:sz w:val="24"/>
          <w:szCs w:val="24"/>
        </w:rPr>
        <w:t>used</w:t>
      </w:r>
      <w:r w:rsidR="0046240A" w:rsidRPr="000B67FD">
        <w:rPr>
          <w:rFonts w:cstheme="minorHAnsi"/>
          <w:bCs/>
          <w:sz w:val="24"/>
          <w:szCs w:val="24"/>
        </w:rPr>
        <w:t xml:space="preserve"> properties and a lack of</w:t>
      </w:r>
      <w:r w:rsidR="0067675B" w:rsidRPr="000B67FD">
        <w:rPr>
          <w:rFonts w:cstheme="minorHAnsi"/>
          <w:bCs/>
          <w:sz w:val="24"/>
          <w:szCs w:val="24"/>
        </w:rPr>
        <w:t xml:space="preserve"> riverfront</w:t>
      </w:r>
      <w:r w:rsidR="0046240A" w:rsidRPr="000B67FD">
        <w:rPr>
          <w:rFonts w:cstheme="minorHAnsi"/>
          <w:bCs/>
          <w:sz w:val="24"/>
          <w:szCs w:val="24"/>
        </w:rPr>
        <w:t xml:space="preserve"> connection </w:t>
      </w:r>
      <w:r w:rsidR="00D277F6" w:rsidRPr="000B67FD">
        <w:rPr>
          <w:rFonts w:cstheme="minorHAnsi"/>
          <w:bCs/>
          <w:sz w:val="24"/>
          <w:szCs w:val="24"/>
        </w:rPr>
        <w:t xml:space="preserve">as major challenges </w:t>
      </w:r>
      <w:r w:rsidR="006762F2" w:rsidRPr="000B67FD">
        <w:rPr>
          <w:rFonts w:cstheme="minorHAnsi"/>
          <w:bCs/>
          <w:sz w:val="24"/>
          <w:szCs w:val="24"/>
        </w:rPr>
        <w:t xml:space="preserve">which </w:t>
      </w:r>
      <w:r w:rsidR="0067675B" w:rsidRPr="000B67FD">
        <w:rPr>
          <w:rFonts w:cstheme="minorHAnsi"/>
          <w:bCs/>
          <w:sz w:val="24"/>
          <w:szCs w:val="24"/>
        </w:rPr>
        <w:t xml:space="preserve">this project will </w:t>
      </w:r>
      <w:commentRangeStart w:id="1"/>
      <w:r w:rsidR="0067675B" w:rsidRPr="000B67FD">
        <w:rPr>
          <w:rFonts w:cstheme="minorHAnsi"/>
          <w:bCs/>
          <w:sz w:val="24"/>
          <w:szCs w:val="24"/>
        </w:rPr>
        <w:t>address</w:t>
      </w:r>
      <w:commentRangeEnd w:id="1"/>
      <w:r w:rsidR="00F373E2" w:rsidRPr="000B67FD">
        <w:rPr>
          <w:rStyle w:val="CommentReference"/>
          <w:rFonts w:cstheme="minorHAnsi"/>
          <w:bCs/>
          <w:sz w:val="24"/>
          <w:szCs w:val="24"/>
        </w:rPr>
        <w:commentReference w:id="1"/>
      </w:r>
      <w:r w:rsidR="00D277F6" w:rsidRPr="000B67FD">
        <w:rPr>
          <w:rFonts w:cstheme="minorHAnsi"/>
          <w:bCs/>
          <w:sz w:val="24"/>
          <w:szCs w:val="24"/>
        </w:rPr>
        <w:t>.</w:t>
      </w:r>
      <w:r w:rsidR="0046240A" w:rsidRPr="000B67FD">
        <w:rPr>
          <w:rFonts w:cstheme="minorHAnsi"/>
          <w:bCs/>
          <w:sz w:val="24"/>
          <w:szCs w:val="24"/>
        </w:rPr>
        <w:t xml:space="preserve"> </w:t>
      </w:r>
      <w:r w:rsidR="00786186" w:rsidRPr="000B67FD">
        <w:rPr>
          <w:rFonts w:cstheme="minorHAnsi"/>
          <w:bCs/>
          <w:sz w:val="24"/>
          <w:szCs w:val="24"/>
          <w:u w:val="single"/>
        </w:rPr>
        <w:t>Clackamas County’s Comprehensive Plan</w:t>
      </w:r>
      <w:r w:rsidR="002A33D0" w:rsidRPr="000B67FD">
        <w:rPr>
          <w:rFonts w:cstheme="minorHAnsi"/>
          <w:bCs/>
          <w:sz w:val="24"/>
          <w:szCs w:val="24"/>
        </w:rPr>
        <w:t xml:space="preserve"> </w:t>
      </w:r>
      <w:r w:rsidR="00786186" w:rsidRPr="000B67FD">
        <w:rPr>
          <w:rFonts w:cstheme="minorHAnsi"/>
          <w:bCs/>
          <w:sz w:val="24"/>
          <w:szCs w:val="24"/>
        </w:rPr>
        <w:t>highlights a need for developable land and protecting and supporting natural features</w:t>
      </w:r>
      <w:r w:rsidR="00CC4F61" w:rsidRPr="000B67FD">
        <w:rPr>
          <w:rFonts w:cstheme="minorHAnsi"/>
          <w:bCs/>
          <w:sz w:val="24"/>
          <w:szCs w:val="24"/>
        </w:rPr>
        <w:t xml:space="preserve"> and parks</w:t>
      </w:r>
      <w:r w:rsidR="00786186" w:rsidRPr="000B67FD">
        <w:rPr>
          <w:rFonts w:cstheme="minorHAnsi"/>
          <w:bCs/>
          <w:sz w:val="24"/>
          <w:szCs w:val="24"/>
        </w:rPr>
        <w:t xml:space="preserve">. </w:t>
      </w:r>
      <w:r w:rsidR="00786186" w:rsidRPr="000B67FD">
        <w:rPr>
          <w:rFonts w:cstheme="minorHAnsi"/>
          <w:bCs/>
          <w:sz w:val="24"/>
          <w:szCs w:val="24"/>
          <w:u w:val="single"/>
        </w:rPr>
        <w:t xml:space="preserve">Metro’s 2040 </w:t>
      </w:r>
      <w:r w:rsidR="00ED0DC9" w:rsidRPr="000B67FD">
        <w:rPr>
          <w:rFonts w:cstheme="minorHAnsi"/>
          <w:bCs/>
          <w:sz w:val="24"/>
          <w:szCs w:val="24"/>
          <w:u w:val="single"/>
        </w:rPr>
        <w:t xml:space="preserve">Regional </w:t>
      </w:r>
      <w:r w:rsidR="00786186" w:rsidRPr="000B67FD">
        <w:rPr>
          <w:rFonts w:cstheme="minorHAnsi"/>
          <w:bCs/>
          <w:sz w:val="24"/>
          <w:szCs w:val="24"/>
          <w:u w:val="single"/>
        </w:rPr>
        <w:t>Growth Concept</w:t>
      </w:r>
      <w:r w:rsidR="00786186" w:rsidRPr="000B67FD">
        <w:rPr>
          <w:rFonts w:cstheme="minorHAnsi"/>
          <w:bCs/>
          <w:sz w:val="24"/>
          <w:szCs w:val="24"/>
        </w:rPr>
        <w:t xml:space="preserve"> encourages </w:t>
      </w:r>
      <w:r w:rsidR="00BE0028" w:rsidRPr="000B67FD">
        <w:rPr>
          <w:rFonts w:cstheme="minorHAnsi"/>
          <w:bCs/>
          <w:sz w:val="24"/>
          <w:szCs w:val="24"/>
        </w:rPr>
        <w:t xml:space="preserve">infill </w:t>
      </w:r>
      <w:r w:rsidR="00786186" w:rsidRPr="000B67FD">
        <w:rPr>
          <w:rFonts w:cstheme="minorHAnsi"/>
          <w:bCs/>
          <w:sz w:val="24"/>
          <w:szCs w:val="24"/>
        </w:rPr>
        <w:t xml:space="preserve">development, a healthy economy, and protection of rivers and natural areas. </w:t>
      </w:r>
    </w:p>
    <w:p w14:paraId="3906858B" w14:textId="0EC5E5B4" w:rsidR="007E5913" w:rsidRPr="000B67FD" w:rsidRDefault="00021BC2" w:rsidP="00C17B42">
      <w:pPr>
        <w:widowControl w:val="0"/>
        <w:spacing w:before="60" w:after="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/>
          <w:sz w:val="24"/>
          <w:szCs w:val="24"/>
          <w:u w:val="single"/>
        </w:rPr>
        <w:t>1.</w:t>
      </w:r>
      <w:r w:rsidR="00E463B2" w:rsidRPr="000B67FD">
        <w:rPr>
          <w:rFonts w:cstheme="minorHAnsi"/>
          <w:b/>
          <w:sz w:val="24"/>
          <w:szCs w:val="24"/>
          <w:u w:val="single"/>
        </w:rPr>
        <w:t>d</w:t>
      </w:r>
      <w:r w:rsidRPr="000B67FD">
        <w:rPr>
          <w:rFonts w:cstheme="minorHAnsi"/>
          <w:b/>
          <w:sz w:val="24"/>
          <w:szCs w:val="24"/>
          <w:u w:val="single"/>
        </w:rPr>
        <w:t xml:space="preserve">. Outcomes </w:t>
      </w:r>
      <w:r w:rsidR="00C212F7" w:rsidRPr="000B67FD">
        <w:rPr>
          <w:rFonts w:cstheme="minorHAnsi"/>
          <w:b/>
          <w:sz w:val="24"/>
          <w:szCs w:val="24"/>
          <w:u w:val="single"/>
        </w:rPr>
        <w:t>&amp;</w:t>
      </w:r>
      <w:r w:rsidRPr="000B67FD">
        <w:rPr>
          <w:rFonts w:cstheme="minorHAnsi"/>
          <w:b/>
          <w:sz w:val="24"/>
          <w:szCs w:val="24"/>
          <w:u w:val="single"/>
        </w:rPr>
        <w:t xml:space="preserve"> Benefits of </w:t>
      </w:r>
      <w:r w:rsidR="00A852BA" w:rsidRPr="000B67FD">
        <w:rPr>
          <w:rFonts w:cstheme="minorHAnsi"/>
          <w:b/>
          <w:sz w:val="24"/>
          <w:szCs w:val="24"/>
          <w:u w:val="single"/>
        </w:rPr>
        <w:t>Reuse Strategy</w:t>
      </w:r>
      <w:r w:rsidR="00CB791B" w:rsidRPr="000B67FD">
        <w:rPr>
          <w:rFonts w:cstheme="minorHAnsi"/>
          <w:b/>
          <w:sz w:val="24"/>
          <w:szCs w:val="24"/>
        </w:rPr>
        <w:t>:</w:t>
      </w:r>
      <w:r w:rsidR="006C2E6C" w:rsidRPr="000B67FD">
        <w:rPr>
          <w:rFonts w:cstheme="minorHAnsi"/>
          <w:b/>
          <w:sz w:val="24"/>
          <w:szCs w:val="24"/>
        </w:rPr>
        <w:t xml:space="preserve"> </w:t>
      </w:r>
      <w:r w:rsidR="00F417B1" w:rsidRPr="000B67FD">
        <w:rPr>
          <w:rFonts w:cstheme="minorHAnsi"/>
          <w:bCs/>
          <w:sz w:val="24"/>
          <w:szCs w:val="24"/>
        </w:rPr>
        <w:t xml:space="preserve">Metro prepared a </w:t>
      </w:r>
      <w:r w:rsidR="00F417B1" w:rsidRPr="000B67FD">
        <w:rPr>
          <w:rFonts w:cstheme="minorHAnsi"/>
          <w:b/>
          <w:i/>
          <w:iCs/>
          <w:sz w:val="24"/>
          <w:szCs w:val="24"/>
        </w:rPr>
        <w:t>Catalytic Value Study</w:t>
      </w:r>
      <w:r w:rsidR="00F417B1" w:rsidRPr="000B67FD">
        <w:rPr>
          <w:rFonts w:cstheme="minorHAnsi"/>
          <w:bCs/>
          <w:sz w:val="24"/>
          <w:szCs w:val="24"/>
        </w:rPr>
        <w:t xml:space="preserve"> </w:t>
      </w:r>
      <w:r w:rsidR="00174B5E" w:rsidRPr="000B67FD">
        <w:rPr>
          <w:rFonts w:cstheme="minorHAnsi"/>
          <w:bCs/>
          <w:sz w:val="24"/>
          <w:szCs w:val="24"/>
        </w:rPr>
        <w:t>of</w:t>
      </w:r>
      <w:r w:rsidR="00F417B1" w:rsidRPr="000B67FD">
        <w:rPr>
          <w:rFonts w:cstheme="minorHAnsi"/>
          <w:bCs/>
          <w:sz w:val="24"/>
          <w:szCs w:val="24"/>
        </w:rPr>
        <w:t xml:space="preserve"> the </w:t>
      </w:r>
      <w:r w:rsidR="009662C0" w:rsidRPr="000B67FD">
        <w:rPr>
          <w:rFonts w:cstheme="minorHAnsi"/>
          <w:bCs/>
          <w:sz w:val="24"/>
          <w:szCs w:val="24"/>
        </w:rPr>
        <w:t>potential for the transformed Site to stimulate</w:t>
      </w:r>
      <w:r w:rsidR="00972C7C" w:rsidRPr="000B67FD">
        <w:rPr>
          <w:rFonts w:cstheme="minorHAnsi"/>
          <w:bCs/>
          <w:sz w:val="24"/>
          <w:szCs w:val="24"/>
        </w:rPr>
        <w:t xml:space="preserve"> </w:t>
      </w:r>
      <w:r w:rsidR="009662C0" w:rsidRPr="000B67FD">
        <w:rPr>
          <w:rFonts w:cstheme="minorHAnsi"/>
          <w:bCs/>
          <w:sz w:val="24"/>
          <w:szCs w:val="24"/>
        </w:rPr>
        <w:t xml:space="preserve">economic </w:t>
      </w:r>
      <w:r w:rsidR="0027001C" w:rsidRPr="000B67FD">
        <w:rPr>
          <w:rFonts w:cstheme="minorHAnsi"/>
          <w:bCs/>
          <w:sz w:val="24"/>
          <w:szCs w:val="24"/>
        </w:rPr>
        <w:t>development</w:t>
      </w:r>
      <w:r w:rsidR="009662C0" w:rsidRPr="000B67FD">
        <w:rPr>
          <w:rFonts w:cstheme="minorHAnsi"/>
          <w:bCs/>
          <w:sz w:val="24"/>
          <w:szCs w:val="24"/>
        </w:rPr>
        <w:t xml:space="preserve">. The </w:t>
      </w:r>
      <w:r w:rsidR="00B75901" w:rsidRPr="000B67FD">
        <w:rPr>
          <w:rFonts w:cstheme="minorHAnsi"/>
          <w:bCs/>
          <w:sz w:val="24"/>
          <w:szCs w:val="24"/>
        </w:rPr>
        <w:t>s</w:t>
      </w:r>
      <w:r w:rsidR="009662C0" w:rsidRPr="000B67FD">
        <w:rPr>
          <w:rFonts w:cstheme="minorHAnsi"/>
          <w:bCs/>
          <w:sz w:val="24"/>
          <w:szCs w:val="24"/>
        </w:rPr>
        <w:t xml:space="preserve">tudy identified a </w:t>
      </w:r>
      <w:r w:rsidR="000C4BC2" w:rsidRPr="000B67FD">
        <w:rPr>
          <w:rFonts w:cstheme="minorHAnsi"/>
          <w:bCs/>
          <w:sz w:val="24"/>
          <w:szCs w:val="24"/>
        </w:rPr>
        <w:t>robust</w:t>
      </w:r>
      <w:r w:rsidR="009662C0" w:rsidRPr="000B67FD">
        <w:rPr>
          <w:rFonts w:cstheme="minorHAnsi"/>
          <w:bCs/>
          <w:sz w:val="24"/>
          <w:szCs w:val="24"/>
        </w:rPr>
        <w:t xml:space="preserve"> </w:t>
      </w:r>
      <w:r w:rsidR="003F2DD2" w:rsidRPr="000B67FD">
        <w:rPr>
          <w:rFonts w:cstheme="minorHAnsi"/>
          <w:bCs/>
          <w:sz w:val="24"/>
          <w:szCs w:val="24"/>
        </w:rPr>
        <w:t>set</w:t>
      </w:r>
      <w:r w:rsidR="009662C0" w:rsidRPr="000B67FD">
        <w:rPr>
          <w:rFonts w:cstheme="minorHAnsi"/>
          <w:bCs/>
          <w:sz w:val="24"/>
          <w:szCs w:val="24"/>
        </w:rPr>
        <w:t xml:space="preserve"> of </w:t>
      </w:r>
      <w:r w:rsidR="004A7D59" w:rsidRPr="000B67FD">
        <w:rPr>
          <w:rFonts w:cstheme="minorHAnsi"/>
          <w:bCs/>
          <w:sz w:val="24"/>
          <w:szCs w:val="24"/>
        </w:rPr>
        <w:t xml:space="preserve">regional </w:t>
      </w:r>
      <w:r w:rsidR="009662C0" w:rsidRPr="000B67FD">
        <w:rPr>
          <w:rFonts w:cstheme="minorHAnsi"/>
          <w:bCs/>
          <w:sz w:val="24"/>
          <w:szCs w:val="24"/>
        </w:rPr>
        <w:t xml:space="preserve">economic </w:t>
      </w:r>
      <w:r w:rsidR="00A80768" w:rsidRPr="000B67FD">
        <w:rPr>
          <w:rFonts w:cstheme="minorHAnsi"/>
          <w:bCs/>
          <w:sz w:val="24"/>
          <w:szCs w:val="24"/>
        </w:rPr>
        <w:t xml:space="preserve">and community </w:t>
      </w:r>
      <w:r w:rsidR="009662C0" w:rsidRPr="000B67FD">
        <w:rPr>
          <w:rFonts w:cstheme="minorHAnsi"/>
          <w:bCs/>
          <w:sz w:val="24"/>
          <w:szCs w:val="24"/>
        </w:rPr>
        <w:t>benefits resulting from the Site’s planned reuse:</w:t>
      </w:r>
    </w:p>
    <w:p w14:paraId="5E885B27" w14:textId="4962EBF5" w:rsidR="009662C0" w:rsidRPr="000B67FD" w:rsidRDefault="009662C0" w:rsidP="00C17B42">
      <w:pPr>
        <w:widowControl w:val="0"/>
        <w:spacing w:before="20" w:after="20" w:line="240" w:lineRule="exact"/>
        <w:rPr>
          <w:rFonts w:cstheme="minorHAnsi"/>
          <w:bCs/>
          <w:sz w:val="24"/>
          <w:szCs w:val="24"/>
        </w:rPr>
      </w:pPr>
      <w:r w:rsidRPr="000B67FD">
        <w:rPr>
          <w:rFonts w:cstheme="minorHAnsi"/>
          <w:bCs/>
          <w:sz w:val="24"/>
          <w:szCs w:val="24"/>
          <w:u w:val="single"/>
        </w:rPr>
        <w:t>Job Creation</w:t>
      </w:r>
      <w:r w:rsidR="00B00A64" w:rsidRPr="000B67FD">
        <w:rPr>
          <w:rFonts w:cstheme="minorHAnsi"/>
          <w:bCs/>
          <w:sz w:val="24"/>
          <w:szCs w:val="24"/>
          <w:u w:val="single"/>
        </w:rPr>
        <w:t xml:space="preserve"> and Income Tax Revenue</w:t>
      </w:r>
      <w:r w:rsidRPr="000B67FD">
        <w:rPr>
          <w:rFonts w:cstheme="minorHAnsi"/>
          <w:bCs/>
          <w:sz w:val="24"/>
          <w:szCs w:val="24"/>
        </w:rPr>
        <w:t>: The Site could house up to 926</w:t>
      </w:r>
      <w:r w:rsidR="00085197" w:rsidRPr="000B67FD">
        <w:rPr>
          <w:rFonts w:cstheme="minorHAnsi"/>
          <w:bCs/>
          <w:sz w:val="24"/>
          <w:szCs w:val="24"/>
        </w:rPr>
        <w:t>K</w:t>
      </w:r>
      <w:r w:rsidRPr="000B67FD">
        <w:rPr>
          <w:rFonts w:cstheme="minorHAnsi"/>
          <w:bCs/>
          <w:sz w:val="24"/>
          <w:szCs w:val="24"/>
        </w:rPr>
        <w:t xml:space="preserve"> square feet of </w:t>
      </w:r>
      <w:r w:rsidR="000A6E6D" w:rsidRPr="000B67FD">
        <w:rPr>
          <w:rFonts w:cstheme="minorHAnsi"/>
          <w:bCs/>
          <w:sz w:val="24"/>
          <w:szCs w:val="24"/>
        </w:rPr>
        <w:t xml:space="preserve">commercial </w:t>
      </w:r>
      <w:proofErr w:type="gramStart"/>
      <w:r w:rsidRPr="000B67FD">
        <w:rPr>
          <w:rFonts w:cstheme="minorHAnsi"/>
          <w:bCs/>
          <w:sz w:val="24"/>
          <w:szCs w:val="24"/>
        </w:rPr>
        <w:t>space</w:t>
      </w:r>
      <w:proofErr w:type="gramEnd"/>
      <w:r w:rsidRPr="000B67FD">
        <w:rPr>
          <w:rFonts w:cstheme="minorHAnsi"/>
          <w:bCs/>
          <w:sz w:val="24"/>
          <w:szCs w:val="24"/>
        </w:rPr>
        <w:t xml:space="preserve"> creating a</w:t>
      </w:r>
      <w:r w:rsidR="003F2DD2" w:rsidRPr="000B67FD">
        <w:rPr>
          <w:rFonts w:cstheme="minorHAnsi"/>
          <w:bCs/>
          <w:sz w:val="24"/>
          <w:szCs w:val="24"/>
        </w:rPr>
        <w:t>n estimated</w:t>
      </w:r>
      <w:r w:rsidRPr="000B67FD">
        <w:rPr>
          <w:rFonts w:cstheme="minorHAnsi"/>
          <w:bCs/>
          <w:sz w:val="24"/>
          <w:szCs w:val="24"/>
        </w:rPr>
        <w:t xml:space="preserve"> 2,500-5,000 </w:t>
      </w:r>
      <w:r w:rsidR="00DB55EC" w:rsidRPr="000B67FD">
        <w:rPr>
          <w:rFonts w:cstheme="minorHAnsi"/>
          <w:bCs/>
          <w:sz w:val="24"/>
          <w:szCs w:val="24"/>
        </w:rPr>
        <w:t xml:space="preserve">temporary and permanent </w:t>
      </w:r>
      <w:r w:rsidRPr="000B67FD">
        <w:rPr>
          <w:rFonts w:cstheme="minorHAnsi"/>
          <w:bCs/>
          <w:sz w:val="24"/>
          <w:szCs w:val="24"/>
        </w:rPr>
        <w:t>jobs</w:t>
      </w:r>
      <w:r w:rsidR="008A224E" w:rsidRPr="000B67FD">
        <w:rPr>
          <w:rFonts w:cstheme="minorHAnsi"/>
          <w:bCs/>
          <w:sz w:val="24"/>
          <w:szCs w:val="24"/>
        </w:rPr>
        <w:t>. This could generate</w:t>
      </w:r>
      <w:r w:rsidR="00B00A64" w:rsidRPr="000B67FD">
        <w:rPr>
          <w:rFonts w:cstheme="minorHAnsi"/>
          <w:bCs/>
          <w:sz w:val="24"/>
          <w:szCs w:val="24"/>
        </w:rPr>
        <w:t xml:space="preserve"> over</w:t>
      </w:r>
      <w:r w:rsidR="00D14AF6" w:rsidRPr="000B67FD">
        <w:rPr>
          <w:rFonts w:cstheme="minorHAnsi"/>
          <w:bCs/>
          <w:sz w:val="24"/>
          <w:szCs w:val="24"/>
        </w:rPr>
        <w:t xml:space="preserve"> $40M in </w:t>
      </w:r>
      <w:r w:rsidR="001B4F00" w:rsidRPr="000B67FD">
        <w:rPr>
          <w:rFonts w:cstheme="minorHAnsi"/>
          <w:bCs/>
          <w:sz w:val="24"/>
          <w:szCs w:val="24"/>
        </w:rPr>
        <w:t xml:space="preserve">annual local </w:t>
      </w:r>
      <w:r w:rsidR="00D14AF6" w:rsidRPr="000B67FD">
        <w:rPr>
          <w:rFonts w:cstheme="minorHAnsi"/>
          <w:bCs/>
          <w:sz w:val="24"/>
          <w:szCs w:val="24"/>
        </w:rPr>
        <w:t xml:space="preserve">income and </w:t>
      </w:r>
      <w:r w:rsidR="001B4F00" w:rsidRPr="000B67FD">
        <w:rPr>
          <w:rFonts w:cstheme="minorHAnsi"/>
          <w:bCs/>
          <w:sz w:val="24"/>
          <w:szCs w:val="24"/>
        </w:rPr>
        <w:t xml:space="preserve">millions in </w:t>
      </w:r>
      <w:r w:rsidR="00B00A64" w:rsidRPr="000B67FD">
        <w:rPr>
          <w:rFonts w:cstheme="minorHAnsi"/>
          <w:bCs/>
          <w:sz w:val="24"/>
          <w:szCs w:val="24"/>
        </w:rPr>
        <w:t>income tax</w:t>
      </w:r>
      <w:r w:rsidR="00952E84" w:rsidRPr="000B67FD">
        <w:rPr>
          <w:rFonts w:cstheme="minorHAnsi"/>
          <w:bCs/>
          <w:sz w:val="24"/>
          <w:szCs w:val="24"/>
        </w:rPr>
        <w:t xml:space="preserve"> revenue</w:t>
      </w:r>
      <w:r w:rsidR="00A445BD" w:rsidRPr="000B67FD">
        <w:rPr>
          <w:rFonts w:cstheme="minorHAnsi"/>
          <w:bCs/>
          <w:sz w:val="24"/>
          <w:szCs w:val="24"/>
        </w:rPr>
        <w:t xml:space="preserve"> to be reinvested </w:t>
      </w:r>
      <w:r w:rsidR="00D0597F" w:rsidRPr="000B67FD">
        <w:rPr>
          <w:rFonts w:cstheme="minorHAnsi"/>
          <w:bCs/>
          <w:sz w:val="24"/>
          <w:szCs w:val="24"/>
        </w:rPr>
        <w:t>locally</w:t>
      </w:r>
      <w:r w:rsidR="00B00A64" w:rsidRPr="000B67FD">
        <w:rPr>
          <w:rFonts w:cstheme="minorHAnsi"/>
          <w:bCs/>
          <w:sz w:val="24"/>
          <w:szCs w:val="24"/>
        </w:rPr>
        <w:t>.</w:t>
      </w:r>
      <w:r w:rsidR="001B4F00" w:rsidRPr="000B67FD">
        <w:rPr>
          <w:rStyle w:val="FootnoteReference"/>
          <w:rFonts w:cstheme="minorHAnsi"/>
          <w:bCs/>
          <w:sz w:val="24"/>
          <w:szCs w:val="24"/>
        </w:rPr>
        <w:footnoteReference w:id="2"/>
      </w:r>
    </w:p>
    <w:p w14:paraId="23CA785E" w14:textId="4D274423" w:rsidR="00C212F7" w:rsidRPr="000B67FD" w:rsidRDefault="00B615D4" w:rsidP="00C17B42">
      <w:pPr>
        <w:widowControl w:val="0"/>
        <w:spacing w:before="20" w:after="20" w:line="240" w:lineRule="exact"/>
        <w:rPr>
          <w:rFonts w:eastAsia="Calibri" w:cstheme="minorHAnsi"/>
          <w:sz w:val="24"/>
          <w:szCs w:val="24"/>
        </w:rPr>
      </w:pPr>
      <w:r w:rsidRPr="000B67FD">
        <w:rPr>
          <w:rFonts w:eastAsia="Calibri" w:cstheme="minorHAnsi"/>
          <w:sz w:val="24"/>
          <w:szCs w:val="24"/>
          <w:u w:val="single"/>
        </w:rPr>
        <w:t>Tourism</w:t>
      </w:r>
      <w:r w:rsidR="001B178E" w:rsidRPr="000B67FD">
        <w:rPr>
          <w:rFonts w:eastAsia="Calibri" w:cstheme="minorHAnsi"/>
          <w:sz w:val="24"/>
          <w:szCs w:val="24"/>
        </w:rPr>
        <w:t xml:space="preserve">: </w:t>
      </w:r>
      <w:r w:rsidRPr="000B67FD">
        <w:rPr>
          <w:rFonts w:eastAsia="Calibri" w:cstheme="minorHAnsi"/>
          <w:sz w:val="24"/>
          <w:szCs w:val="24"/>
        </w:rPr>
        <w:t xml:space="preserve">Oregon </w:t>
      </w:r>
      <w:r w:rsidR="00206EB6" w:rsidRPr="000B67FD">
        <w:rPr>
          <w:rFonts w:eastAsia="Calibri" w:cstheme="minorHAnsi"/>
          <w:sz w:val="24"/>
          <w:szCs w:val="24"/>
        </w:rPr>
        <w:t>is a tourist destination</w:t>
      </w:r>
      <w:r w:rsidR="00B87445" w:rsidRPr="000B67FD">
        <w:rPr>
          <w:rFonts w:eastAsia="Calibri" w:cstheme="minorHAnsi"/>
          <w:sz w:val="24"/>
          <w:szCs w:val="24"/>
        </w:rPr>
        <w:t xml:space="preserve">. </w:t>
      </w:r>
      <w:r w:rsidR="005B0890" w:rsidRPr="000B67FD">
        <w:rPr>
          <w:rFonts w:eastAsia="Calibri" w:cstheme="minorHAnsi"/>
          <w:sz w:val="24"/>
          <w:szCs w:val="24"/>
        </w:rPr>
        <w:t>In 2023, v</w:t>
      </w:r>
      <w:r w:rsidR="005B0890" w:rsidRPr="000B67FD">
        <w:rPr>
          <w:rFonts w:cstheme="minorHAnsi"/>
          <w:sz w:val="24"/>
          <w:szCs w:val="24"/>
        </w:rPr>
        <w:t xml:space="preserve">isitor spending </w:t>
      </w:r>
      <w:proofErr w:type="gramStart"/>
      <w:r w:rsidR="005B0890" w:rsidRPr="000B67FD">
        <w:rPr>
          <w:rFonts w:cstheme="minorHAnsi"/>
          <w:sz w:val="24"/>
          <w:szCs w:val="24"/>
        </w:rPr>
        <w:t>topped</w:t>
      </w:r>
      <w:proofErr w:type="gramEnd"/>
      <w:r w:rsidR="005B0890" w:rsidRPr="000B67FD">
        <w:rPr>
          <w:rFonts w:cstheme="minorHAnsi"/>
          <w:sz w:val="24"/>
          <w:szCs w:val="24"/>
        </w:rPr>
        <w:t xml:space="preserve"> $14</w:t>
      </w:r>
      <w:r w:rsidR="004B5592" w:rsidRPr="000B67FD">
        <w:rPr>
          <w:rFonts w:cstheme="minorHAnsi"/>
          <w:sz w:val="24"/>
          <w:szCs w:val="24"/>
        </w:rPr>
        <w:t>B</w:t>
      </w:r>
      <w:r w:rsidR="005B0890" w:rsidRPr="000B67FD">
        <w:rPr>
          <w:rFonts w:cstheme="minorHAnsi"/>
          <w:sz w:val="24"/>
          <w:szCs w:val="24"/>
        </w:rPr>
        <w:t xml:space="preserve"> for the first time in </w:t>
      </w:r>
      <w:r w:rsidR="00206EB6" w:rsidRPr="000B67FD">
        <w:rPr>
          <w:rFonts w:cstheme="minorHAnsi"/>
          <w:sz w:val="24"/>
          <w:szCs w:val="24"/>
        </w:rPr>
        <w:t>state</w:t>
      </w:r>
      <w:r w:rsidR="005B0890" w:rsidRPr="000B67FD">
        <w:rPr>
          <w:rFonts w:cstheme="minorHAnsi"/>
          <w:sz w:val="24"/>
          <w:szCs w:val="24"/>
        </w:rPr>
        <w:t xml:space="preserve"> history. </w:t>
      </w:r>
      <w:r w:rsidR="005B0890" w:rsidRPr="000B67FD">
        <w:rPr>
          <w:rFonts w:eastAsia="Calibri" w:cstheme="minorHAnsi"/>
          <w:sz w:val="24"/>
          <w:szCs w:val="24"/>
        </w:rPr>
        <w:t>The Catalytic Value Study</w:t>
      </w:r>
      <w:r w:rsidR="000F71A3" w:rsidRPr="000B67FD">
        <w:rPr>
          <w:rFonts w:eastAsia="Calibri" w:cstheme="minorHAnsi"/>
          <w:sz w:val="24"/>
          <w:szCs w:val="24"/>
        </w:rPr>
        <w:t xml:space="preserve"> </w:t>
      </w:r>
      <w:r w:rsidR="004B5592" w:rsidRPr="000B67FD">
        <w:rPr>
          <w:rFonts w:eastAsia="Calibri" w:cstheme="minorHAnsi"/>
          <w:sz w:val="24"/>
          <w:szCs w:val="24"/>
        </w:rPr>
        <w:t>shows</w:t>
      </w:r>
      <w:r w:rsidR="000F71A3" w:rsidRPr="000B67FD">
        <w:rPr>
          <w:rFonts w:eastAsia="Calibri" w:cstheme="minorHAnsi"/>
          <w:sz w:val="24"/>
          <w:szCs w:val="24"/>
        </w:rPr>
        <w:t xml:space="preserve"> the </w:t>
      </w:r>
      <w:r w:rsidR="00B00A64" w:rsidRPr="000B67FD">
        <w:rPr>
          <w:rFonts w:eastAsia="Calibri" w:cstheme="minorHAnsi"/>
          <w:sz w:val="24"/>
          <w:szCs w:val="24"/>
        </w:rPr>
        <w:t xml:space="preserve">redeveloped </w:t>
      </w:r>
      <w:r w:rsidR="001B178E" w:rsidRPr="000B67FD">
        <w:rPr>
          <w:rFonts w:eastAsia="Calibri" w:cstheme="minorHAnsi"/>
          <w:sz w:val="24"/>
          <w:szCs w:val="24"/>
        </w:rPr>
        <w:t xml:space="preserve">Site could attract </w:t>
      </w:r>
      <w:r w:rsidR="00B00A64" w:rsidRPr="000B67FD">
        <w:rPr>
          <w:rFonts w:eastAsia="Calibri" w:cstheme="minorHAnsi"/>
          <w:sz w:val="24"/>
          <w:szCs w:val="24"/>
        </w:rPr>
        <w:t>1M</w:t>
      </w:r>
      <w:r w:rsidR="001B178E" w:rsidRPr="000B67FD">
        <w:rPr>
          <w:rFonts w:eastAsia="Calibri" w:cstheme="minorHAnsi"/>
          <w:sz w:val="24"/>
          <w:szCs w:val="24"/>
        </w:rPr>
        <w:t xml:space="preserve"> visitors annually, creating 931 tourism-related jobs</w:t>
      </w:r>
      <w:r w:rsidR="00B00A64" w:rsidRPr="000B67FD">
        <w:rPr>
          <w:rFonts w:eastAsia="Calibri" w:cstheme="minorHAnsi"/>
          <w:sz w:val="24"/>
          <w:szCs w:val="24"/>
        </w:rPr>
        <w:t xml:space="preserve"> and generating up to $73M in annual visitor spending</w:t>
      </w:r>
      <w:r w:rsidR="001B178E" w:rsidRPr="000B67FD">
        <w:rPr>
          <w:rFonts w:eastAsia="Calibri" w:cstheme="minorHAnsi"/>
          <w:sz w:val="24"/>
          <w:szCs w:val="24"/>
        </w:rPr>
        <w:t xml:space="preserve">. </w:t>
      </w:r>
    </w:p>
    <w:p w14:paraId="35AA7AC1" w14:textId="1AD7233F" w:rsidR="00861F80" w:rsidRPr="000B67FD" w:rsidRDefault="00F417B1" w:rsidP="00C17B42">
      <w:pPr>
        <w:widowControl w:val="0"/>
        <w:spacing w:before="20" w:after="20" w:line="240" w:lineRule="exact"/>
        <w:rPr>
          <w:rFonts w:eastAsia="Calibri" w:cstheme="minorHAnsi"/>
          <w:sz w:val="24"/>
          <w:szCs w:val="24"/>
        </w:rPr>
      </w:pPr>
      <w:r w:rsidRPr="000B67FD">
        <w:rPr>
          <w:rFonts w:eastAsia="Calibri" w:cstheme="minorHAnsi"/>
          <w:sz w:val="24"/>
          <w:szCs w:val="24"/>
          <w:u w:val="single"/>
        </w:rPr>
        <w:t>Property Value Impacts</w:t>
      </w:r>
      <w:r w:rsidR="001B178E" w:rsidRPr="000B67FD">
        <w:rPr>
          <w:rFonts w:eastAsia="Calibri" w:cstheme="minorHAnsi"/>
          <w:sz w:val="24"/>
          <w:szCs w:val="24"/>
        </w:rPr>
        <w:t xml:space="preserve">: </w:t>
      </w:r>
      <w:r w:rsidR="00861F80" w:rsidRPr="000B67FD">
        <w:rPr>
          <w:rFonts w:eastAsia="Calibri" w:cstheme="minorHAnsi"/>
          <w:sz w:val="24"/>
          <w:szCs w:val="24"/>
        </w:rPr>
        <w:t>The Site currently reduces nearby property values by $2</w:t>
      </w:r>
      <w:r w:rsidR="006E53A9" w:rsidRPr="000B67FD">
        <w:rPr>
          <w:rFonts w:eastAsia="Calibri" w:cstheme="minorHAnsi"/>
          <w:sz w:val="24"/>
          <w:szCs w:val="24"/>
        </w:rPr>
        <w:t>M</w:t>
      </w:r>
      <w:r w:rsidR="00861F80" w:rsidRPr="000B67FD">
        <w:rPr>
          <w:rFonts w:eastAsia="Calibri" w:cstheme="minorHAnsi"/>
          <w:sz w:val="24"/>
          <w:szCs w:val="24"/>
        </w:rPr>
        <w:t xml:space="preserve">. </w:t>
      </w:r>
      <w:r w:rsidR="006E53A9" w:rsidRPr="000B67FD">
        <w:rPr>
          <w:rFonts w:eastAsia="Calibri" w:cstheme="minorHAnsi"/>
          <w:sz w:val="24"/>
          <w:szCs w:val="24"/>
        </w:rPr>
        <w:t>Studies show that b</w:t>
      </w:r>
      <w:r w:rsidR="00861F80" w:rsidRPr="000B67FD">
        <w:rPr>
          <w:rFonts w:eastAsia="Calibri" w:cstheme="minorHAnsi"/>
          <w:sz w:val="24"/>
          <w:szCs w:val="24"/>
        </w:rPr>
        <w:t xml:space="preserve">rownfield remediation </w:t>
      </w:r>
      <w:r w:rsidR="006E53A9" w:rsidRPr="000B67FD">
        <w:rPr>
          <w:rFonts w:eastAsia="Calibri" w:cstheme="minorHAnsi"/>
          <w:sz w:val="24"/>
          <w:szCs w:val="24"/>
        </w:rPr>
        <w:t>can</w:t>
      </w:r>
      <w:r w:rsidR="00861F80" w:rsidRPr="000B67FD">
        <w:rPr>
          <w:rFonts w:eastAsia="Calibri" w:cstheme="minorHAnsi"/>
          <w:sz w:val="24"/>
          <w:szCs w:val="24"/>
        </w:rPr>
        <w:t xml:space="preserve"> increase surrounding values by 5–15%</w:t>
      </w:r>
      <w:r w:rsidR="006E53A9" w:rsidRPr="000B67FD">
        <w:rPr>
          <w:rStyle w:val="FootnoteReference"/>
          <w:rFonts w:eastAsia="Calibri" w:cstheme="minorHAnsi"/>
          <w:sz w:val="24"/>
          <w:szCs w:val="24"/>
        </w:rPr>
        <w:footnoteReference w:id="3"/>
      </w:r>
      <w:r w:rsidR="00861F80" w:rsidRPr="000B67FD">
        <w:rPr>
          <w:rFonts w:eastAsia="Calibri" w:cstheme="minorHAnsi"/>
          <w:sz w:val="24"/>
          <w:szCs w:val="24"/>
        </w:rPr>
        <w:t xml:space="preserve">, creating homeowner equity and economic stability in the Target Area. Higher </w:t>
      </w:r>
      <w:r w:rsidR="004D2C9F" w:rsidRPr="000B67FD">
        <w:rPr>
          <w:rFonts w:eastAsia="Calibri" w:cstheme="minorHAnsi"/>
          <w:sz w:val="24"/>
          <w:szCs w:val="24"/>
        </w:rPr>
        <w:t xml:space="preserve">property </w:t>
      </w:r>
      <w:r w:rsidR="00861F80" w:rsidRPr="000B67FD">
        <w:rPr>
          <w:rFonts w:eastAsia="Calibri" w:cstheme="minorHAnsi"/>
          <w:sz w:val="24"/>
          <w:szCs w:val="24"/>
        </w:rPr>
        <w:t xml:space="preserve">values also make redevelopment financially viable, attracting investment and </w:t>
      </w:r>
      <w:r w:rsidR="00F775EB" w:rsidRPr="000B67FD">
        <w:rPr>
          <w:rFonts w:eastAsia="Calibri" w:cstheme="minorHAnsi"/>
          <w:sz w:val="24"/>
          <w:szCs w:val="24"/>
        </w:rPr>
        <w:t>catalyzing revitalization.</w:t>
      </w:r>
    </w:p>
    <w:p w14:paraId="01F349C7" w14:textId="66A93C73" w:rsidR="006F425D" w:rsidRPr="000B67FD" w:rsidRDefault="009E2C0A" w:rsidP="00C17B42">
      <w:pPr>
        <w:widowControl w:val="0"/>
        <w:spacing w:before="20" w:after="20" w:line="240" w:lineRule="exact"/>
        <w:rPr>
          <w:rFonts w:eastAsia="Times New Roman" w:cstheme="minorHAnsi"/>
          <w:sz w:val="21"/>
          <w:szCs w:val="21"/>
        </w:rPr>
      </w:pPr>
      <w:r w:rsidRPr="000B67FD">
        <w:rPr>
          <w:rFonts w:eastAsia="Calibri" w:cstheme="minorHAnsi"/>
          <w:sz w:val="24"/>
          <w:szCs w:val="24"/>
          <w:u w:val="single"/>
        </w:rPr>
        <w:t>Park/Open Space</w:t>
      </w:r>
      <w:r w:rsidRPr="000B67FD">
        <w:rPr>
          <w:rFonts w:eastAsia="Calibri" w:cstheme="minorHAnsi"/>
          <w:sz w:val="24"/>
          <w:szCs w:val="24"/>
        </w:rPr>
        <w:t xml:space="preserve">: </w:t>
      </w:r>
      <w:r w:rsidR="008D7A7A" w:rsidRPr="000B67FD">
        <w:rPr>
          <w:rFonts w:eastAsia="Calibri" w:cstheme="minorHAnsi"/>
          <w:sz w:val="24"/>
          <w:szCs w:val="24"/>
        </w:rPr>
        <w:t>Site reuse will</w:t>
      </w:r>
      <w:r w:rsidR="006F425D" w:rsidRPr="000B67FD">
        <w:rPr>
          <w:rFonts w:eastAsia="Calibri" w:cstheme="minorHAnsi"/>
          <w:sz w:val="24"/>
          <w:szCs w:val="24"/>
        </w:rPr>
        <w:t xml:space="preserve"> include ecological restoration, river</w:t>
      </w:r>
      <w:r w:rsidR="00B96A41" w:rsidRPr="000B67FD">
        <w:rPr>
          <w:rFonts w:eastAsia="Calibri" w:cstheme="minorHAnsi"/>
          <w:sz w:val="24"/>
          <w:szCs w:val="24"/>
        </w:rPr>
        <w:t xml:space="preserve"> </w:t>
      </w:r>
      <w:r w:rsidR="006F425D" w:rsidRPr="000B67FD">
        <w:rPr>
          <w:rFonts w:eastAsia="Calibri" w:cstheme="minorHAnsi"/>
          <w:sz w:val="24"/>
          <w:szCs w:val="24"/>
        </w:rPr>
        <w:t xml:space="preserve">access, and a </w:t>
      </w:r>
      <w:r w:rsidR="006643A9" w:rsidRPr="000B67FD">
        <w:rPr>
          <w:rFonts w:eastAsia="Calibri" w:cstheme="minorHAnsi"/>
          <w:sz w:val="24"/>
          <w:szCs w:val="24"/>
        </w:rPr>
        <w:t>riverwalk</w:t>
      </w:r>
      <w:r w:rsidR="006F425D" w:rsidRPr="000B67FD">
        <w:rPr>
          <w:rFonts w:eastAsia="Calibri" w:cstheme="minorHAnsi"/>
          <w:sz w:val="24"/>
          <w:szCs w:val="24"/>
        </w:rPr>
        <w:t>. Plans feature a revitalized boat dock</w:t>
      </w:r>
      <w:r w:rsidR="00A14FFD" w:rsidRPr="000B67FD">
        <w:rPr>
          <w:rFonts w:eastAsia="Calibri" w:cstheme="minorHAnsi"/>
          <w:sz w:val="24"/>
          <w:szCs w:val="24"/>
        </w:rPr>
        <w:t>, overnight park accommodations, and naturalized trails</w:t>
      </w:r>
      <w:r w:rsidR="00DE585A" w:rsidRPr="000B67FD">
        <w:rPr>
          <w:rFonts w:eastAsia="Calibri" w:cstheme="minorHAnsi"/>
          <w:sz w:val="24"/>
          <w:szCs w:val="24"/>
        </w:rPr>
        <w:t xml:space="preserve"> as well as </w:t>
      </w:r>
      <w:r w:rsidR="006F425D" w:rsidRPr="000B67FD">
        <w:rPr>
          <w:rFonts w:eastAsia="Calibri" w:cstheme="minorHAnsi"/>
          <w:sz w:val="24"/>
          <w:szCs w:val="24"/>
        </w:rPr>
        <w:t xml:space="preserve">a </w:t>
      </w:r>
      <w:r w:rsidR="00DE585A" w:rsidRPr="000B67FD">
        <w:rPr>
          <w:rFonts w:eastAsia="Calibri" w:cstheme="minorHAnsi"/>
          <w:sz w:val="24"/>
          <w:szCs w:val="24"/>
        </w:rPr>
        <w:t>community</w:t>
      </w:r>
      <w:r w:rsidR="006F425D" w:rsidRPr="000B67FD">
        <w:rPr>
          <w:rFonts w:eastAsia="Calibri" w:cstheme="minorHAnsi"/>
          <w:sz w:val="24"/>
          <w:szCs w:val="24"/>
        </w:rPr>
        <w:t xml:space="preserve"> space for markets and </w:t>
      </w:r>
      <w:r w:rsidR="00E707C4">
        <w:rPr>
          <w:rFonts w:eastAsia="Calibri" w:cstheme="minorHAnsi"/>
          <w:sz w:val="24"/>
          <w:szCs w:val="24"/>
        </w:rPr>
        <w:t xml:space="preserve">destination </w:t>
      </w:r>
      <w:r w:rsidR="006F425D" w:rsidRPr="000B67FD">
        <w:rPr>
          <w:rFonts w:eastAsia="Calibri" w:cstheme="minorHAnsi"/>
          <w:sz w:val="24"/>
          <w:szCs w:val="24"/>
        </w:rPr>
        <w:t>events framed by historic mill remnants.</w:t>
      </w:r>
    </w:p>
    <w:p w14:paraId="25F80717" w14:textId="016ADE38" w:rsidR="005808DA" w:rsidRPr="00C0031C" w:rsidRDefault="005808DA" w:rsidP="00C0031C">
      <w:pPr>
        <w:widowControl w:val="0"/>
        <w:spacing w:before="20" w:after="20" w:line="240" w:lineRule="exact"/>
        <w:rPr>
          <w:rFonts w:ascii="Segoe UI" w:eastAsia="Times New Roman" w:hAnsi="Segoe UI" w:cs="Segoe UI"/>
          <w:sz w:val="21"/>
          <w:szCs w:val="21"/>
        </w:rPr>
      </w:pPr>
      <w:r>
        <w:rPr>
          <w:rFonts w:eastAsia="Calibri" w:cstheme="minorHAnsi"/>
          <w:sz w:val="24"/>
          <w:szCs w:val="24"/>
          <w:u w:val="single"/>
        </w:rPr>
        <w:lastRenderedPageBreak/>
        <w:t>Housing</w:t>
      </w:r>
      <w:r w:rsidRPr="00C0031C">
        <w:rPr>
          <w:rFonts w:eastAsia="Calibri" w:cstheme="minorHAnsi"/>
          <w:sz w:val="24"/>
          <w:szCs w:val="24"/>
        </w:rPr>
        <w:t xml:space="preserve">: </w:t>
      </w:r>
      <w:r w:rsidR="00116780" w:rsidRPr="00C0031C">
        <w:rPr>
          <w:rFonts w:eastAsia="Calibri" w:cstheme="minorHAnsi"/>
          <w:sz w:val="24"/>
          <w:szCs w:val="24"/>
        </w:rPr>
        <w:t xml:space="preserve">the Oregon City 2021-2041 Housing Needs Analysis projects a need for </w:t>
      </w:r>
      <w:r w:rsidR="00B11597" w:rsidRPr="00C0031C">
        <w:rPr>
          <w:rFonts w:eastAsia="Calibri" w:cstheme="minorHAnsi"/>
          <w:sz w:val="24"/>
          <w:szCs w:val="24"/>
        </w:rPr>
        <w:t xml:space="preserve">50% more housing to accommodate growth. </w:t>
      </w:r>
      <w:r w:rsidR="00C0031C" w:rsidRPr="00C0031C">
        <w:rPr>
          <w:rFonts w:eastAsia="Calibri" w:cstheme="minorHAnsi"/>
          <w:sz w:val="24"/>
          <w:szCs w:val="24"/>
        </w:rPr>
        <w:t>With Oregon City projecting a 50% increase in needed housing, the Site offers a vital opportunity to sustainably expand the housing supply and ease the cost burdens residents face due to current shortages</w:t>
      </w:r>
      <w:r w:rsidR="00C0031C">
        <w:rPr>
          <w:rFonts w:ascii="Segoe UI" w:eastAsia="Times New Roman" w:hAnsi="Segoe UI" w:cs="Segoe UI"/>
          <w:sz w:val="21"/>
          <w:szCs w:val="21"/>
        </w:rPr>
        <w:t>.</w:t>
      </w:r>
    </w:p>
    <w:p w14:paraId="0449B0E7" w14:textId="56EE14C7" w:rsidR="00E54AC5" w:rsidRPr="001530E3" w:rsidRDefault="0028694D" w:rsidP="00C17B42">
      <w:pPr>
        <w:autoSpaceDE w:val="0"/>
        <w:autoSpaceDN w:val="0"/>
        <w:adjustRightInd w:val="0"/>
        <w:spacing w:before="20" w:after="20" w:line="240" w:lineRule="exact"/>
        <w:rPr>
          <w:rFonts w:eastAsia="Calibri" w:cstheme="minorHAnsi"/>
          <w:sz w:val="24"/>
          <w:szCs w:val="24"/>
          <w:u w:val="single"/>
        </w:rPr>
      </w:pPr>
      <w:r w:rsidRPr="000B67FD">
        <w:rPr>
          <w:rFonts w:eastAsia="Calibri" w:cstheme="minorHAnsi"/>
          <w:sz w:val="24"/>
          <w:szCs w:val="24"/>
          <w:u w:val="single"/>
        </w:rPr>
        <w:t>Natural Disasters</w:t>
      </w:r>
      <w:r w:rsidRPr="000B67FD">
        <w:rPr>
          <w:rFonts w:eastAsia="Calibri" w:cstheme="minorHAnsi"/>
          <w:sz w:val="24"/>
          <w:szCs w:val="24"/>
        </w:rPr>
        <w:t xml:space="preserve">: </w:t>
      </w:r>
      <w:r w:rsidR="004F532A" w:rsidRPr="004F532A">
        <w:rPr>
          <w:rFonts w:eastAsia="Calibri" w:cstheme="minorHAnsi"/>
          <w:sz w:val="24"/>
          <w:szCs w:val="24"/>
        </w:rPr>
        <w:t xml:space="preserve">Heavy winter rains in the Target Area increase flood and landslide risks. By naturalizing </w:t>
      </w:r>
      <w:r w:rsidR="008A746A">
        <w:rPr>
          <w:rFonts w:eastAsia="Calibri" w:cstheme="minorHAnsi"/>
          <w:sz w:val="24"/>
          <w:szCs w:val="24"/>
        </w:rPr>
        <w:t xml:space="preserve">a portion of </w:t>
      </w:r>
      <w:r w:rsidR="004F532A" w:rsidRPr="004F532A">
        <w:rPr>
          <w:rFonts w:eastAsia="Calibri" w:cstheme="minorHAnsi"/>
          <w:sz w:val="24"/>
          <w:szCs w:val="24"/>
        </w:rPr>
        <w:t>the Site, redevelopment will boost floodplain capacity</w:t>
      </w:r>
      <w:r w:rsidR="000D7BEC">
        <w:rPr>
          <w:rFonts w:eastAsia="Calibri" w:cstheme="minorHAnsi"/>
          <w:sz w:val="24"/>
          <w:szCs w:val="24"/>
        </w:rPr>
        <w:t xml:space="preserve"> a</w:t>
      </w:r>
      <w:r w:rsidR="004F532A" w:rsidRPr="004F532A">
        <w:rPr>
          <w:rFonts w:eastAsia="Calibri" w:cstheme="minorHAnsi"/>
          <w:sz w:val="24"/>
          <w:szCs w:val="24"/>
        </w:rPr>
        <w:t xml:space="preserve">nd enable stormwater </w:t>
      </w:r>
      <w:proofErr w:type="gramStart"/>
      <w:r w:rsidR="004F532A" w:rsidRPr="004F532A">
        <w:rPr>
          <w:rFonts w:eastAsia="Calibri" w:cstheme="minorHAnsi"/>
          <w:sz w:val="24"/>
          <w:szCs w:val="24"/>
        </w:rPr>
        <w:t>capture</w:t>
      </w:r>
      <w:proofErr w:type="gramEnd"/>
      <w:r w:rsidR="004F532A" w:rsidRPr="004F532A">
        <w:rPr>
          <w:rFonts w:eastAsia="Calibri" w:cstheme="minorHAnsi"/>
          <w:sz w:val="24"/>
          <w:szCs w:val="24"/>
        </w:rPr>
        <w:t xml:space="preserve"> and reuse</w:t>
      </w:r>
      <w:r w:rsidR="004E15FE" w:rsidRPr="000B67FD">
        <w:rPr>
          <w:rFonts w:cstheme="minorHAnsi"/>
          <w:bCs/>
          <w:sz w:val="24"/>
          <w:szCs w:val="24"/>
        </w:rPr>
        <w:t>.</w:t>
      </w:r>
      <w:r w:rsidR="00B36D09" w:rsidRPr="000B67FD">
        <w:rPr>
          <w:rStyle w:val="FootnoteReference"/>
          <w:rFonts w:cstheme="minorHAnsi"/>
          <w:bCs/>
          <w:sz w:val="24"/>
          <w:szCs w:val="24"/>
        </w:rPr>
        <w:footnoteReference w:id="4"/>
      </w:r>
      <w:r w:rsidR="004E15FE" w:rsidRPr="000B67FD">
        <w:rPr>
          <w:rFonts w:cstheme="minorHAnsi"/>
          <w:bCs/>
          <w:sz w:val="24"/>
          <w:szCs w:val="24"/>
        </w:rPr>
        <w:t xml:space="preserve"> </w:t>
      </w:r>
      <w:r w:rsidR="00624DBE" w:rsidRPr="004F532A">
        <w:rPr>
          <w:rFonts w:eastAsia="Calibri" w:cstheme="minorHAnsi"/>
          <w:sz w:val="24"/>
          <w:szCs w:val="24"/>
        </w:rPr>
        <w:t>With extreme summer he</w:t>
      </w:r>
      <w:r w:rsidR="00624DBE" w:rsidRPr="001530E3">
        <w:rPr>
          <w:rFonts w:eastAsia="Calibri" w:cstheme="minorHAnsi"/>
          <w:sz w:val="24"/>
          <w:szCs w:val="24"/>
        </w:rPr>
        <w:t>at</w:t>
      </w:r>
      <w:r w:rsidR="000D7BEC" w:rsidRPr="001530E3">
        <w:rPr>
          <w:rFonts w:eastAsia="Calibri" w:cstheme="minorHAnsi"/>
          <w:sz w:val="24"/>
          <w:szCs w:val="24"/>
        </w:rPr>
        <w:t>, i</w:t>
      </w:r>
      <w:r w:rsidR="00624DBE" w:rsidRPr="001530E3">
        <w:rPr>
          <w:rFonts w:eastAsia="Calibri" w:cstheme="minorHAnsi"/>
          <w:sz w:val="24"/>
          <w:szCs w:val="24"/>
        </w:rPr>
        <w:t xml:space="preserve">ncluding a 2025 </w:t>
      </w:r>
      <w:r w:rsidR="000D7BEC" w:rsidRPr="001530E3">
        <w:rPr>
          <w:rFonts w:eastAsia="Calibri" w:cstheme="minorHAnsi"/>
          <w:sz w:val="24"/>
          <w:szCs w:val="24"/>
        </w:rPr>
        <w:t xml:space="preserve">extreme </w:t>
      </w:r>
      <w:r w:rsidR="00624DBE" w:rsidRPr="001530E3">
        <w:rPr>
          <w:rFonts w:eastAsia="Calibri" w:cstheme="minorHAnsi"/>
          <w:sz w:val="24"/>
          <w:szCs w:val="24"/>
        </w:rPr>
        <w:t>heat warning</w:t>
      </w:r>
      <w:proofErr w:type="gramStart"/>
      <w:r w:rsidR="000D7BEC" w:rsidRPr="001530E3">
        <w:rPr>
          <w:rFonts w:eastAsia="Calibri" w:cstheme="minorHAnsi"/>
          <w:sz w:val="24"/>
          <w:szCs w:val="24"/>
        </w:rPr>
        <w:t xml:space="preserve">, </w:t>
      </w:r>
      <w:r w:rsidR="00624DBE" w:rsidRPr="001530E3">
        <w:rPr>
          <w:rFonts w:eastAsia="Calibri" w:cstheme="minorHAnsi"/>
          <w:sz w:val="24"/>
          <w:szCs w:val="24"/>
        </w:rPr>
        <w:t>re</w:t>
      </w:r>
      <w:r w:rsidR="00624DBE" w:rsidRPr="001530E3">
        <w:rPr>
          <w:rFonts w:ascii="Cambria Math" w:eastAsia="Calibri" w:hAnsi="Cambria Math" w:cs="Cambria Math"/>
          <w:sz w:val="24"/>
          <w:szCs w:val="24"/>
        </w:rPr>
        <w:t>‑</w:t>
      </w:r>
      <w:r w:rsidR="00624DBE" w:rsidRPr="001530E3">
        <w:rPr>
          <w:rFonts w:eastAsia="Calibri" w:cstheme="minorHAnsi"/>
          <w:sz w:val="24"/>
          <w:szCs w:val="24"/>
        </w:rPr>
        <w:t>greening</w:t>
      </w:r>
      <w:proofErr w:type="gramEnd"/>
      <w:r w:rsidR="00624DBE" w:rsidRPr="001530E3">
        <w:rPr>
          <w:rFonts w:eastAsia="Calibri" w:cstheme="minorHAnsi"/>
          <w:sz w:val="24"/>
          <w:szCs w:val="24"/>
        </w:rPr>
        <w:t xml:space="preserve"> the Site will help cool the area and lessen energy needs for building cooling</w:t>
      </w:r>
      <w:r w:rsidR="00CA6F45" w:rsidRPr="001530E3">
        <w:rPr>
          <w:rFonts w:cstheme="minorHAnsi"/>
          <w:bCs/>
          <w:sz w:val="24"/>
          <w:szCs w:val="24"/>
        </w:rPr>
        <w:t>.</w:t>
      </w:r>
      <w:r w:rsidR="009F67DA" w:rsidRPr="001530E3">
        <w:rPr>
          <w:rStyle w:val="FootnoteReference"/>
          <w:rFonts w:cstheme="minorHAnsi"/>
          <w:bCs/>
          <w:sz w:val="24"/>
          <w:szCs w:val="24"/>
        </w:rPr>
        <w:footnoteReference w:id="5"/>
      </w:r>
      <w:r w:rsidR="00564232" w:rsidRPr="001530E3">
        <w:rPr>
          <w:rFonts w:cstheme="minorHAnsi"/>
          <w:bCs/>
          <w:sz w:val="24"/>
          <w:szCs w:val="24"/>
        </w:rPr>
        <w:t xml:space="preserve">  </w:t>
      </w:r>
    </w:p>
    <w:p w14:paraId="22512A25" w14:textId="19E6FD31" w:rsidR="00260130" w:rsidRPr="000B67FD" w:rsidRDefault="00260130" w:rsidP="00B67211">
      <w:pPr>
        <w:widowControl w:val="0"/>
        <w:autoSpaceDE w:val="0"/>
        <w:autoSpaceDN w:val="0"/>
        <w:adjustRightInd w:val="0"/>
        <w:spacing w:before="20" w:after="20" w:line="240" w:lineRule="exact"/>
        <w:rPr>
          <w:rFonts w:eastAsia="Calibri" w:cstheme="minorHAnsi"/>
          <w:sz w:val="24"/>
          <w:szCs w:val="24"/>
        </w:rPr>
      </w:pPr>
      <w:r w:rsidRPr="001530E3">
        <w:rPr>
          <w:rFonts w:eastAsia="Calibri" w:cstheme="minorHAnsi"/>
          <w:sz w:val="24"/>
          <w:szCs w:val="24"/>
          <w:u w:val="single"/>
        </w:rPr>
        <w:t>Renewable energy</w:t>
      </w:r>
      <w:r w:rsidR="004706F3" w:rsidRPr="001530E3">
        <w:rPr>
          <w:rFonts w:eastAsia="Calibri" w:cstheme="minorHAnsi"/>
          <w:sz w:val="24"/>
          <w:szCs w:val="24"/>
        </w:rPr>
        <w:t xml:space="preserve">: </w:t>
      </w:r>
      <w:r w:rsidR="00634521" w:rsidRPr="001530E3">
        <w:rPr>
          <w:rFonts w:eastAsia="Calibri" w:cstheme="minorHAnsi"/>
          <w:sz w:val="24"/>
          <w:szCs w:val="24"/>
        </w:rPr>
        <w:t>Reuse plans include rooftop</w:t>
      </w:r>
      <w:r w:rsidR="004706F3" w:rsidRPr="001530E3">
        <w:rPr>
          <w:rFonts w:eastAsia="Calibri" w:cstheme="minorHAnsi"/>
          <w:sz w:val="24"/>
          <w:szCs w:val="24"/>
        </w:rPr>
        <w:t xml:space="preserve"> solar panels</w:t>
      </w:r>
      <w:r w:rsidR="00634521" w:rsidRPr="001530E3">
        <w:rPr>
          <w:rFonts w:eastAsia="Calibri" w:cstheme="minorHAnsi"/>
          <w:sz w:val="24"/>
          <w:szCs w:val="24"/>
        </w:rPr>
        <w:t xml:space="preserve"> on newly constructed buildings.</w:t>
      </w:r>
      <w:r w:rsidR="004706F3" w:rsidRPr="000B67FD">
        <w:rPr>
          <w:rFonts w:eastAsia="Calibri" w:cstheme="minorHAnsi"/>
          <w:sz w:val="24"/>
          <w:szCs w:val="24"/>
        </w:rPr>
        <w:t xml:space="preserve"> </w:t>
      </w:r>
      <w:r w:rsidRPr="000B67FD">
        <w:rPr>
          <w:rFonts w:eastAsia="Calibri" w:cstheme="minorHAnsi"/>
          <w:sz w:val="24"/>
          <w:szCs w:val="24"/>
        </w:rPr>
        <w:t xml:space="preserve"> </w:t>
      </w:r>
    </w:p>
    <w:p w14:paraId="3067AC02" w14:textId="35438E31" w:rsidR="00E92ABC" w:rsidRPr="00B950AB" w:rsidRDefault="00021BC2" w:rsidP="008179DC">
      <w:pPr>
        <w:widowControl w:val="0"/>
        <w:spacing w:before="60" w:after="80" w:line="240" w:lineRule="exact"/>
        <w:rPr>
          <w:rFonts w:cstheme="minorHAnsi"/>
          <w:b/>
          <w:spacing w:val="-8"/>
          <w:sz w:val="24"/>
          <w:szCs w:val="24"/>
          <w:u w:val="single"/>
        </w:rPr>
      </w:pPr>
      <w:r w:rsidRPr="00B950AB">
        <w:rPr>
          <w:rFonts w:cstheme="minorHAnsi"/>
          <w:b/>
          <w:spacing w:val="-8"/>
          <w:sz w:val="24"/>
          <w:szCs w:val="24"/>
          <w:u w:val="single"/>
        </w:rPr>
        <w:t>Strategy for Leveraging Resources</w:t>
      </w:r>
      <w:proofErr w:type="gramStart"/>
      <w:r w:rsidR="00CB791B" w:rsidRPr="00B950AB">
        <w:rPr>
          <w:rFonts w:cstheme="minorHAnsi"/>
          <w:b/>
          <w:spacing w:val="-8"/>
          <w:sz w:val="24"/>
          <w:szCs w:val="24"/>
        </w:rPr>
        <w:t>:</w:t>
      </w:r>
      <w:r w:rsidR="00C2428F" w:rsidRPr="00B950AB">
        <w:rPr>
          <w:rFonts w:cstheme="minorHAnsi"/>
          <w:b/>
          <w:spacing w:val="-8"/>
          <w:sz w:val="24"/>
          <w:szCs w:val="24"/>
        </w:rPr>
        <w:t xml:space="preserve">  </w:t>
      </w:r>
      <w:r w:rsidR="00FB70B7" w:rsidRPr="00B950AB">
        <w:rPr>
          <w:rFonts w:cstheme="minorHAnsi"/>
          <w:b/>
          <w:spacing w:val="-8"/>
          <w:sz w:val="24"/>
          <w:szCs w:val="24"/>
          <w:u w:val="single"/>
        </w:rPr>
        <w:t>1</w:t>
      </w:r>
      <w:proofErr w:type="gramEnd"/>
      <w:r w:rsidR="00FB70B7" w:rsidRPr="00B950AB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E463B2" w:rsidRPr="00B950AB">
        <w:rPr>
          <w:rFonts w:cstheme="minorHAnsi"/>
          <w:b/>
          <w:spacing w:val="-8"/>
          <w:sz w:val="24"/>
          <w:szCs w:val="24"/>
          <w:u w:val="single"/>
        </w:rPr>
        <w:t>e</w:t>
      </w:r>
      <w:r w:rsidR="00FB70B7" w:rsidRPr="00B950AB">
        <w:rPr>
          <w:rFonts w:cstheme="minorHAnsi"/>
          <w:b/>
          <w:spacing w:val="-8"/>
          <w:sz w:val="24"/>
          <w:szCs w:val="24"/>
          <w:u w:val="single"/>
        </w:rPr>
        <w:t xml:space="preserve">. </w:t>
      </w:r>
      <w:r w:rsidRPr="00B950AB">
        <w:rPr>
          <w:rFonts w:cstheme="minorHAnsi"/>
          <w:b/>
          <w:spacing w:val="-8"/>
          <w:sz w:val="24"/>
          <w:szCs w:val="24"/>
          <w:u w:val="single"/>
        </w:rPr>
        <w:t xml:space="preserve">Site </w:t>
      </w:r>
      <w:r w:rsidR="00A852BA" w:rsidRPr="00B950AB">
        <w:rPr>
          <w:rFonts w:cstheme="minorHAnsi"/>
          <w:b/>
          <w:spacing w:val="-8"/>
          <w:sz w:val="24"/>
          <w:szCs w:val="24"/>
          <w:u w:val="single"/>
        </w:rPr>
        <w:t>Characterization</w:t>
      </w:r>
      <w:r w:rsidR="00E92ABC" w:rsidRPr="00B950AB">
        <w:rPr>
          <w:rFonts w:cstheme="minorHAnsi"/>
          <w:b/>
          <w:spacing w:val="-8"/>
          <w:sz w:val="24"/>
          <w:szCs w:val="24"/>
          <w:u w:val="single"/>
        </w:rPr>
        <w:t>:</w:t>
      </w:r>
      <w:r w:rsidR="00606E0A" w:rsidRPr="00B950AB">
        <w:rPr>
          <w:rFonts w:cstheme="minorHAnsi"/>
          <w:b/>
          <w:spacing w:val="-8"/>
          <w:sz w:val="24"/>
          <w:szCs w:val="24"/>
          <w:u w:val="single"/>
        </w:rPr>
        <w:t xml:space="preserve"> </w:t>
      </w:r>
      <w:r w:rsidR="00E92ABC" w:rsidRPr="00B950AB">
        <w:rPr>
          <w:rFonts w:cstheme="minorHAnsi"/>
          <w:sz w:val="24"/>
          <w:szCs w:val="24"/>
        </w:rPr>
        <w:t xml:space="preserve">Assessment has been completed and remediation has begun. </w:t>
      </w:r>
      <w:r w:rsidR="00B950AB" w:rsidRPr="00B950AB">
        <w:rPr>
          <w:rFonts w:cstheme="minorHAnsi"/>
          <w:sz w:val="24"/>
          <w:szCs w:val="24"/>
        </w:rPr>
        <w:t xml:space="preserve">NO additional assessment is anticipated; </w:t>
      </w:r>
      <w:proofErr w:type="gramStart"/>
      <w:r w:rsidR="00B950AB" w:rsidRPr="00B950AB">
        <w:rPr>
          <w:rFonts w:cstheme="minorHAnsi"/>
          <w:sz w:val="24"/>
          <w:szCs w:val="24"/>
        </w:rPr>
        <w:t>however</w:t>
      </w:r>
      <w:proofErr w:type="gramEnd"/>
      <w:r w:rsidR="00B950AB" w:rsidRPr="00B950AB">
        <w:rPr>
          <w:rFonts w:cstheme="minorHAnsi"/>
          <w:sz w:val="24"/>
          <w:szCs w:val="24"/>
        </w:rPr>
        <w:t xml:space="preserve"> if </w:t>
      </w:r>
      <w:r w:rsidR="00E92ABC" w:rsidRPr="00B950AB">
        <w:rPr>
          <w:rFonts w:cstheme="minorHAnsi"/>
          <w:sz w:val="24"/>
          <w:szCs w:val="24"/>
        </w:rPr>
        <w:t>assessment is needed, funds available to the Tribe are summarized in the table below</w:t>
      </w:r>
      <w:r w:rsidR="00B950AB" w:rsidRPr="00B950AB">
        <w:rPr>
          <w:rFonts w:cstheme="minorHAnsi"/>
          <w:sz w:val="24"/>
          <w:szCs w:val="24"/>
        </w:rPr>
        <w:t>.</w:t>
      </w:r>
    </w:p>
    <w:p w14:paraId="49609BA8" w14:textId="37A5FF83" w:rsidR="00505461" w:rsidRPr="00B950AB" w:rsidRDefault="00606E0A" w:rsidP="008179DC">
      <w:pPr>
        <w:widowControl w:val="0"/>
        <w:spacing w:before="60" w:after="80" w:line="240" w:lineRule="exact"/>
        <w:rPr>
          <w:rFonts w:cstheme="minorHAnsi"/>
          <w:sz w:val="24"/>
          <w:szCs w:val="24"/>
        </w:rPr>
      </w:pPr>
      <w:r w:rsidRPr="00B950AB">
        <w:rPr>
          <w:rFonts w:cstheme="minorHAnsi"/>
          <w:b/>
          <w:sz w:val="24"/>
          <w:szCs w:val="24"/>
          <w:u w:val="single"/>
        </w:rPr>
        <w:t>1.f. Site Remediation</w:t>
      </w:r>
      <w:r w:rsidR="00FD6998" w:rsidRPr="00B950AB">
        <w:rPr>
          <w:rFonts w:cstheme="minorHAnsi"/>
          <w:b/>
          <w:sz w:val="24"/>
          <w:szCs w:val="24"/>
          <w:u w:val="single"/>
        </w:rPr>
        <w:t xml:space="preserve"> and 1.g Site Reuse</w:t>
      </w:r>
      <w:r w:rsidR="00CB791B" w:rsidRPr="00B950AB">
        <w:rPr>
          <w:rFonts w:cstheme="minorHAnsi"/>
          <w:b/>
          <w:spacing w:val="-8"/>
          <w:sz w:val="24"/>
          <w:szCs w:val="24"/>
        </w:rPr>
        <w:t>:</w:t>
      </w:r>
      <w:r w:rsidR="006C2E6C" w:rsidRPr="00B950AB">
        <w:rPr>
          <w:rFonts w:cstheme="minorHAnsi"/>
          <w:b/>
          <w:spacing w:val="-8"/>
          <w:sz w:val="24"/>
          <w:szCs w:val="24"/>
        </w:rPr>
        <w:t xml:space="preserve"> </w:t>
      </w:r>
      <w:r w:rsidR="00C5350F" w:rsidRPr="00B950AB">
        <w:rPr>
          <w:rFonts w:cstheme="minorHAnsi"/>
          <w:sz w:val="24"/>
          <w:szCs w:val="24"/>
        </w:rPr>
        <w:t>As a federally recognized Tribe, the</w:t>
      </w:r>
      <w:r w:rsidR="00A852BA" w:rsidRPr="00B950AB">
        <w:rPr>
          <w:rFonts w:cstheme="minorHAnsi"/>
          <w:sz w:val="24"/>
          <w:szCs w:val="24"/>
        </w:rPr>
        <w:t xml:space="preserve"> CTGR</w:t>
      </w:r>
      <w:r w:rsidR="009C1314" w:rsidRPr="00B950AB">
        <w:rPr>
          <w:rFonts w:cstheme="minorHAnsi"/>
          <w:sz w:val="24"/>
          <w:szCs w:val="24"/>
        </w:rPr>
        <w:t xml:space="preserve"> and this project are</w:t>
      </w:r>
      <w:r w:rsidR="00B7195E" w:rsidRPr="00B950AB">
        <w:rPr>
          <w:rFonts w:cstheme="minorHAnsi"/>
          <w:sz w:val="24"/>
          <w:szCs w:val="24"/>
        </w:rPr>
        <w:t xml:space="preserve"> eligible </w:t>
      </w:r>
      <w:r w:rsidR="009C1314" w:rsidRPr="00B950AB">
        <w:rPr>
          <w:rFonts w:cstheme="minorHAnsi"/>
          <w:sz w:val="24"/>
          <w:szCs w:val="24"/>
        </w:rPr>
        <w:t xml:space="preserve">and well-positioned </w:t>
      </w:r>
      <w:r w:rsidR="00B7195E" w:rsidRPr="00B950AB">
        <w:rPr>
          <w:rFonts w:cstheme="minorHAnsi"/>
          <w:sz w:val="24"/>
          <w:szCs w:val="24"/>
        </w:rPr>
        <w:t xml:space="preserve">to </w:t>
      </w:r>
      <w:r w:rsidR="009C1314" w:rsidRPr="00B950AB">
        <w:rPr>
          <w:rFonts w:cstheme="minorHAnsi"/>
          <w:sz w:val="24"/>
          <w:szCs w:val="24"/>
        </w:rPr>
        <w:t>leverage funding</w:t>
      </w:r>
      <w:r w:rsidR="00B7195E" w:rsidRPr="00B950AB">
        <w:rPr>
          <w:rFonts w:cstheme="minorHAnsi"/>
          <w:sz w:val="24"/>
          <w:szCs w:val="24"/>
        </w:rPr>
        <w:t>.</w:t>
      </w:r>
      <w:r w:rsidR="00EC0EC2" w:rsidRPr="00B950AB">
        <w:rPr>
          <w:rFonts w:cstheme="minorHAnsi"/>
          <w:sz w:val="24"/>
          <w:szCs w:val="24"/>
        </w:rPr>
        <w:t xml:space="preserve"> </w:t>
      </w:r>
      <w:r w:rsidR="00400D81">
        <w:rPr>
          <w:rFonts w:cstheme="minorHAnsi"/>
          <w:sz w:val="24"/>
          <w:szCs w:val="24"/>
        </w:rPr>
        <w:t>F</w:t>
      </w:r>
      <w:r w:rsidR="004446E5" w:rsidRPr="00B950AB">
        <w:rPr>
          <w:rFonts w:cstheme="minorHAnsi"/>
          <w:sz w:val="24"/>
          <w:szCs w:val="24"/>
        </w:rPr>
        <w:t xml:space="preserve">unding </w:t>
      </w:r>
      <w:r w:rsidR="0031217D" w:rsidRPr="00B950AB">
        <w:rPr>
          <w:rFonts w:cstheme="minorHAnsi"/>
          <w:sz w:val="24"/>
          <w:szCs w:val="24"/>
        </w:rPr>
        <w:t>historically</w:t>
      </w:r>
      <w:r w:rsidR="007A66CE" w:rsidRPr="00B950AB">
        <w:rPr>
          <w:rFonts w:cstheme="minorHAnsi"/>
          <w:sz w:val="24"/>
          <w:szCs w:val="24"/>
        </w:rPr>
        <w:t xml:space="preserve"> </w:t>
      </w:r>
      <w:r w:rsidR="00507F4B" w:rsidRPr="00B950AB">
        <w:rPr>
          <w:rFonts w:cstheme="minorHAnsi"/>
          <w:sz w:val="24"/>
          <w:szCs w:val="24"/>
        </w:rPr>
        <w:t>secured</w:t>
      </w:r>
      <w:r w:rsidR="00551B9F" w:rsidRPr="00B950AB">
        <w:rPr>
          <w:rFonts w:cstheme="minorHAnsi"/>
          <w:sz w:val="24"/>
          <w:szCs w:val="24"/>
        </w:rPr>
        <w:t xml:space="preserve"> for the Site</w:t>
      </w:r>
      <w:r w:rsidR="00400D81">
        <w:rPr>
          <w:rFonts w:cstheme="minorHAnsi"/>
          <w:sz w:val="24"/>
          <w:szCs w:val="24"/>
        </w:rPr>
        <w:t xml:space="preserve"> includes</w:t>
      </w:r>
      <w:r w:rsidR="00CD6B00" w:rsidRPr="00B950AB">
        <w:rPr>
          <w:rFonts w:cstheme="minorHAnsi"/>
          <w:sz w:val="24"/>
          <w:szCs w:val="24"/>
        </w:rPr>
        <w:t>:</w:t>
      </w:r>
      <w:r w:rsidR="00C63F32" w:rsidRPr="00B950AB">
        <w:rPr>
          <w:rFonts w:cstheme="minorHAnsi"/>
          <w:sz w:val="24"/>
          <w:szCs w:val="24"/>
        </w:rPr>
        <w:t xml:space="preserve"> </w:t>
      </w:r>
      <w:r w:rsidR="003E6FC8" w:rsidRPr="00B950AB">
        <w:rPr>
          <w:rFonts w:cstheme="minorHAnsi"/>
          <w:sz w:val="24"/>
          <w:szCs w:val="24"/>
        </w:rPr>
        <w:t xml:space="preserve">2012 </w:t>
      </w:r>
      <w:r w:rsidR="002F088D" w:rsidRPr="00B950AB">
        <w:rPr>
          <w:rFonts w:cstheme="minorHAnsi"/>
          <w:sz w:val="24"/>
          <w:szCs w:val="24"/>
        </w:rPr>
        <w:t>Metro</w:t>
      </w:r>
      <w:r w:rsidR="005C6927" w:rsidRPr="00B950AB">
        <w:rPr>
          <w:rFonts w:cstheme="minorHAnsi"/>
          <w:sz w:val="24"/>
          <w:szCs w:val="24"/>
        </w:rPr>
        <w:t xml:space="preserve"> </w:t>
      </w:r>
      <w:r w:rsidR="00401D8B" w:rsidRPr="00B950AB">
        <w:rPr>
          <w:rFonts w:cstheme="minorHAnsi"/>
          <w:sz w:val="24"/>
          <w:szCs w:val="24"/>
        </w:rPr>
        <w:t>bonds</w:t>
      </w:r>
      <w:r w:rsidR="00F108C4" w:rsidRPr="00B950AB">
        <w:rPr>
          <w:rFonts w:cstheme="minorHAnsi"/>
          <w:sz w:val="24"/>
          <w:szCs w:val="24"/>
        </w:rPr>
        <w:t xml:space="preserve"> for assessment and a Development Opportunity Study</w:t>
      </w:r>
      <w:r w:rsidR="00CD6B00" w:rsidRPr="00B950AB">
        <w:rPr>
          <w:rFonts w:cstheme="minorHAnsi"/>
          <w:sz w:val="24"/>
          <w:szCs w:val="24"/>
        </w:rPr>
        <w:t xml:space="preserve">; </w:t>
      </w:r>
      <w:r w:rsidR="00182CBD" w:rsidRPr="00B950AB">
        <w:rPr>
          <w:rFonts w:cstheme="minorHAnsi"/>
          <w:sz w:val="24"/>
          <w:szCs w:val="24"/>
        </w:rPr>
        <w:t>$100K+ in assessment using</w:t>
      </w:r>
      <w:r w:rsidR="005C6927" w:rsidRPr="00B950AB">
        <w:rPr>
          <w:rFonts w:cstheme="minorHAnsi"/>
          <w:sz w:val="24"/>
          <w:szCs w:val="24"/>
        </w:rPr>
        <w:t xml:space="preserve"> Metro</w:t>
      </w:r>
      <w:r w:rsidR="00182CBD" w:rsidRPr="00B950AB">
        <w:rPr>
          <w:rFonts w:cstheme="minorHAnsi"/>
          <w:sz w:val="24"/>
          <w:szCs w:val="24"/>
        </w:rPr>
        <w:t xml:space="preserve">’s </w:t>
      </w:r>
      <w:r w:rsidR="005C6927" w:rsidRPr="00B950AB">
        <w:rPr>
          <w:rFonts w:cstheme="minorHAnsi"/>
          <w:sz w:val="24"/>
          <w:szCs w:val="24"/>
        </w:rPr>
        <w:t>FY16</w:t>
      </w:r>
      <w:r w:rsidR="00DB2AD5" w:rsidRPr="00B950AB">
        <w:rPr>
          <w:rFonts w:cstheme="minorHAnsi"/>
          <w:sz w:val="24"/>
          <w:szCs w:val="24"/>
        </w:rPr>
        <w:t>/</w:t>
      </w:r>
      <w:r w:rsidR="00953F76" w:rsidRPr="00B950AB">
        <w:rPr>
          <w:rFonts w:cstheme="minorHAnsi"/>
          <w:sz w:val="24"/>
          <w:szCs w:val="24"/>
        </w:rPr>
        <w:t xml:space="preserve">FY20 </w:t>
      </w:r>
      <w:r w:rsidR="005C6927" w:rsidRPr="00B950AB">
        <w:rPr>
          <w:rFonts w:cstheme="minorHAnsi"/>
          <w:sz w:val="24"/>
          <w:szCs w:val="24"/>
        </w:rPr>
        <w:t>EPA Brownfield Assessment Grant</w:t>
      </w:r>
      <w:r w:rsidR="006A2329" w:rsidRPr="00B950AB">
        <w:rPr>
          <w:rFonts w:cstheme="minorHAnsi"/>
          <w:sz w:val="24"/>
          <w:szCs w:val="24"/>
        </w:rPr>
        <w:t>s</w:t>
      </w:r>
      <w:r w:rsidR="00182CBD" w:rsidRPr="00B950AB">
        <w:rPr>
          <w:rFonts w:cstheme="minorHAnsi"/>
          <w:sz w:val="24"/>
          <w:szCs w:val="24"/>
        </w:rPr>
        <w:t xml:space="preserve">; </w:t>
      </w:r>
      <w:r w:rsidR="005C6927" w:rsidRPr="00B950AB">
        <w:rPr>
          <w:rFonts w:cstheme="minorHAnsi"/>
          <w:sz w:val="24"/>
          <w:szCs w:val="24"/>
        </w:rPr>
        <w:t>$25</w:t>
      </w:r>
      <w:r w:rsidR="005E11E2" w:rsidRPr="00B950AB">
        <w:rPr>
          <w:rFonts w:cstheme="minorHAnsi"/>
          <w:sz w:val="24"/>
          <w:szCs w:val="24"/>
        </w:rPr>
        <w:t xml:space="preserve">K 2019 </w:t>
      </w:r>
      <w:r w:rsidR="005C6927" w:rsidRPr="00B950AB">
        <w:rPr>
          <w:rFonts w:cstheme="minorHAnsi"/>
          <w:sz w:val="24"/>
          <w:szCs w:val="24"/>
        </w:rPr>
        <w:t>Business Oregon</w:t>
      </w:r>
      <w:r w:rsidR="005E11E2" w:rsidRPr="00B950AB">
        <w:rPr>
          <w:rFonts w:cstheme="minorHAnsi"/>
          <w:sz w:val="24"/>
          <w:szCs w:val="24"/>
        </w:rPr>
        <w:t xml:space="preserve"> Grant</w:t>
      </w:r>
      <w:r w:rsidR="005C6927" w:rsidRPr="00B950AB">
        <w:rPr>
          <w:rFonts w:cstheme="minorHAnsi"/>
          <w:sz w:val="24"/>
          <w:szCs w:val="24"/>
        </w:rPr>
        <w:t xml:space="preserve"> to </w:t>
      </w:r>
      <w:r w:rsidR="00221EC7" w:rsidRPr="00B950AB">
        <w:rPr>
          <w:rFonts w:cstheme="minorHAnsi"/>
          <w:sz w:val="24"/>
          <w:szCs w:val="24"/>
        </w:rPr>
        <w:t>develop</w:t>
      </w:r>
      <w:r w:rsidR="005C6927" w:rsidRPr="00B950AB">
        <w:rPr>
          <w:rFonts w:cstheme="minorHAnsi"/>
          <w:sz w:val="24"/>
          <w:szCs w:val="24"/>
        </w:rPr>
        <w:t xml:space="preserve"> the scope</w:t>
      </w:r>
      <w:r w:rsidR="005C6927" w:rsidRPr="000B67FD">
        <w:rPr>
          <w:rFonts w:cstheme="minorHAnsi"/>
          <w:sz w:val="24"/>
          <w:szCs w:val="24"/>
        </w:rPr>
        <w:t xml:space="preserve"> </w:t>
      </w:r>
      <w:r w:rsidR="00DB2AD5" w:rsidRPr="000B67FD">
        <w:rPr>
          <w:rFonts w:cstheme="minorHAnsi"/>
          <w:sz w:val="24"/>
          <w:szCs w:val="24"/>
        </w:rPr>
        <w:t>of</w:t>
      </w:r>
      <w:r w:rsidR="005C6927" w:rsidRPr="000B67FD">
        <w:rPr>
          <w:rFonts w:cstheme="minorHAnsi"/>
          <w:sz w:val="24"/>
          <w:szCs w:val="24"/>
        </w:rPr>
        <w:t xml:space="preserve"> environmental </w:t>
      </w:r>
      <w:r w:rsidR="00180600" w:rsidRPr="000B67FD">
        <w:rPr>
          <w:rFonts w:cstheme="minorHAnsi"/>
          <w:sz w:val="24"/>
          <w:szCs w:val="24"/>
        </w:rPr>
        <w:t>assessment/cleanup required by</w:t>
      </w:r>
      <w:r w:rsidR="005C6927" w:rsidRPr="000B67FD">
        <w:rPr>
          <w:rFonts w:cstheme="minorHAnsi"/>
          <w:sz w:val="24"/>
          <w:szCs w:val="24"/>
        </w:rPr>
        <w:t xml:space="preserve"> </w:t>
      </w:r>
      <w:r w:rsidR="001A1C5B" w:rsidRPr="000B67FD">
        <w:rPr>
          <w:rFonts w:cstheme="minorHAnsi"/>
          <w:sz w:val="24"/>
          <w:szCs w:val="24"/>
        </w:rPr>
        <w:t>DEQ</w:t>
      </w:r>
      <w:r w:rsidR="00DD2886" w:rsidRPr="000B67FD">
        <w:rPr>
          <w:rFonts w:cstheme="minorHAnsi"/>
          <w:sz w:val="24"/>
          <w:szCs w:val="24"/>
        </w:rPr>
        <w:t xml:space="preserve">; </w:t>
      </w:r>
      <w:r w:rsidR="00E94D13">
        <w:rPr>
          <w:rFonts w:cstheme="minorHAnsi"/>
          <w:sz w:val="24"/>
          <w:szCs w:val="24"/>
        </w:rPr>
        <w:t xml:space="preserve">and </w:t>
      </w:r>
      <w:r w:rsidR="001C657A" w:rsidRPr="000B67FD">
        <w:rPr>
          <w:rFonts w:cstheme="minorHAnsi"/>
          <w:sz w:val="24"/>
          <w:szCs w:val="24"/>
        </w:rPr>
        <w:t>$800K</w:t>
      </w:r>
      <w:r w:rsidR="002E0BA4" w:rsidRPr="000B67FD">
        <w:rPr>
          <w:rFonts w:cstheme="minorHAnsi"/>
          <w:sz w:val="24"/>
          <w:szCs w:val="24"/>
        </w:rPr>
        <w:t xml:space="preserve"> FY21 EPA Brownfield Multipurpose Grant</w:t>
      </w:r>
      <w:r w:rsidR="002B1425">
        <w:rPr>
          <w:rFonts w:cstheme="minorHAnsi"/>
          <w:sz w:val="24"/>
          <w:szCs w:val="24"/>
        </w:rPr>
        <w:t>.</w:t>
      </w:r>
      <w:r w:rsidR="00195D2C" w:rsidRPr="000B67FD">
        <w:rPr>
          <w:rFonts w:cstheme="minorHAnsi"/>
          <w:sz w:val="24"/>
          <w:szCs w:val="24"/>
        </w:rPr>
        <w:t xml:space="preserve"> </w:t>
      </w:r>
      <w:r w:rsidR="00F145D3">
        <w:rPr>
          <w:rFonts w:cstheme="minorHAnsi"/>
          <w:sz w:val="24"/>
          <w:szCs w:val="24"/>
        </w:rPr>
        <w:t xml:space="preserve">These investments as well as those highlighted below </w:t>
      </w:r>
      <w:r w:rsidR="00F145D3" w:rsidRPr="00F145D3">
        <w:rPr>
          <w:rFonts w:cstheme="minorHAnsi"/>
          <w:sz w:val="24"/>
          <w:szCs w:val="24"/>
        </w:rPr>
        <w:t>underscore public confidence in the project’s ability to drive economic opportunity</w:t>
      </w:r>
      <w:r w:rsidR="00F145D3">
        <w:rPr>
          <w:rFonts w:cstheme="minorHAnsi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465"/>
      </w:tblGrid>
      <w:tr w:rsidR="00676D76" w:rsidRPr="000B67FD" w14:paraId="4EA5FE9E" w14:textId="77777777" w:rsidTr="00A72800">
        <w:tc>
          <w:tcPr>
            <w:tcW w:w="9715" w:type="dxa"/>
            <w:gridSpan w:val="2"/>
            <w:shd w:val="clear" w:color="auto" w:fill="E2EFD9" w:themeFill="accent6" w:themeFillTint="33"/>
          </w:tcPr>
          <w:p w14:paraId="5EAA8465" w14:textId="5BB3751C" w:rsidR="00676D76" w:rsidRPr="000B67FD" w:rsidRDefault="00676D76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0B67FD">
              <w:rPr>
                <w:rFonts w:cstheme="minorHAnsi"/>
                <w:b/>
                <w:bCs/>
              </w:rPr>
              <w:t xml:space="preserve">Metro </w:t>
            </w:r>
            <w:r w:rsidR="00D67A94" w:rsidRPr="000B67FD">
              <w:rPr>
                <w:rFonts w:cstheme="minorHAnsi"/>
                <w:b/>
                <w:bCs/>
              </w:rPr>
              <w:t>FY2</w:t>
            </w:r>
            <w:r w:rsidR="007302B6" w:rsidRPr="000B67FD">
              <w:rPr>
                <w:rFonts w:cstheme="minorHAnsi"/>
                <w:b/>
                <w:bCs/>
              </w:rPr>
              <w:t>0</w:t>
            </w:r>
            <w:r w:rsidR="00D67A94" w:rsidRPr="000B67FD">
              <w:rPr>
                <w:rFonts w:cstheme="minorHAnsi"/>
                <w:b/>
                <w:bCs/>
              </w:rPr>
              <w:t xml:space="preserve"> </w:t>
            </w:r>
            <w:r w:rsidRPr="000B67FD">
              <w:rPr>
                <w:rFonts w:cstheme="minorHAnsi"/>
                <w:b/>
                <w:bCs/>
              </w:rPr>
              <w:t>EPA Brownfield Assessment Grant</w:t>
            </w:r>
            <w:r w:rsidR="00B068A3" w:rsidRPr="000B67FD">
              <w:rPr>
                <w:rFonts w:cstheme="minorHAnsi"/>
                <w:b/>
                <w:bCs/>
              </w:rPr>
              <w:t xml:space="preserve"> </w:t>
            </w:r>
            <w:r w:rsidR="00B068A3" w:rsidRPr="000B67FD">
              <w:rPr>
                <w:rFonts w:cstheme="minorHAnsi"/>
              </w:rPr>
              <w:t>– Unsecured (Available upon request)</w:t>
            </w:r>
          </w:p>
        </w:tc>
      </w:tr>
      <w:tr w:rsidR="00B068A3" w:rsidRPr="000B67FD" w14:paraId="64930AEE" w14:textId="77777777" w:rsidTr="00A72800">
        <w:tc>
          <w:tcPr>
            <w:tcW w:w="225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DC8D12A" w14:textId="678F47FE" w:rsidR="00B068A3" w:rsidRPr="000B67FD" w:rsidRDefault="00C65B91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 xml:space="preserve">Purpose: </w:t>
            </w:r>
            <w:r w:rsidR="00B068A3" w:rsidRPr="000B67FD">
              <w:rPr>
                <w:rFonts w:cstheme="minorHAnsi"/>
              </w:rPr>
              <w:t>Assessment, Reuse Planning</w:t>
            </w:r>
          </w:p>
        </w:tc>
        <w:tc>
          <w:tcPr>
            <w:tcW w:w="746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D488DB" w14:textId="36F7C1A8" w:rsidR="00B068A3" w:rsidRPr="000B67FD" w:rsidRDefault="00B068A3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Metro has an active</w:t>
            </w:r>
            <w:r w:rsidR="00400123">
              <w:rPr>
                <w:rFonts w:cstheme="minorHAnsi"/>
              </w:rPr>
              <w:t xml:space="preserve"> $1.5M</w:t>
            </w:r>
            <w:r w:rsidRPr="000B67FD">
              <w:rPr>
                <w:rFonts w:cstheme="minorHAnsi"/>
              </w:rPr>
              <w:t xml:space="preserve"> </w:t>
            </w:r>
            <w:r w:rsidR="00D431D8" w:rsidRPr="000B67FD">
              <w:rPr>
                <w:rFonts w:cstheme="minorHAnsi"/>
              </w:rPr>
              <w:t xml:space="preserve">regional </w:t>
            </w:r>
            <w:r w:rsidRPr="000B67FD">
              <w:rPr>
                <w:rFonts w:cstheme="minorHAnsi"/>
              </w:rPr>
              <w:t>EPA Brownfield Assessment Grant</w:t>
            </w:r>
            <w:r w:rsidR="009A3294" w:rsidRPr="000B67FD">
              <w:rPr>
                <w:rFonts w:cstheme="minorHAnsi"/>
              </w:rPr>
              <w:t xml:space="preserve"> that includes the Target Area,</w:t>
            </w:r>
            <w:r w:rsidRPr="000B67FD">
              <w:rPr>
                <w:rFonts w:cstheme="minorHAnsi"/>
              </w:rPr>
              <w:t xml:space="preserve"> with funds available for assessment </w:t>
            </w:r>
            <w:r w:rsidR="00C65B91" w:rsidRPr="000B67FD">
              <w:rPr>
                <w:rFonts w:cstheme="minorHAnsi"/>
              </w:rPr>
              <w:t>and</w:t>
            </w:r>
            <w:r w:rsidRPr="000B67FD">
              <w:rPr>
                <w:rFonts w:cstheme="minorHAnsi"/>
              </w:rPr>
              <w:t xml:space="preserve"> reuse planning </w:t>
            </w:r>
            <w:r w:rsidR="00C65B91" w:rsidRPr="000B67FD">
              <w:rPr>
                <w:rFonts w:cstheme="minorHAnsi"/>
              </w:rPr>
              <w:t>at the site if</w:t>
            </w:r>
            <w:r w:rsidRPr="000B67FD">
              <w:rPr>
                <w:rFonts w:cstheme="minorHAnsi"/>
              </w:rPr>
              <w:t xml:space="preserve"> needed</w:t>
            </w:r>
            <w:r w:rsidR="00C65B91" w:rsidRPr="000B67FD">
              <w:rPr>
                <w:rFonts w:cstheme="minorHAnsi"/>
              </w:rPr>
              <w:t>.</w:t>
            </w:r>
          </w:p>
        </w:tc>
      </w:tr>
      <w:tr w:rsidR="00676D76" w:rsidRPr="000B67FD" w14:paraId="3689A8DD" w14:textId="77777777" w:rsidTr="00B27C44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271E5CD" w14:textId="14A6201E" w:rsidR="00676D76" w:rsidRPr="000B67FD" w:rsidRDefault="00517C35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0B67FD">
              <w:rPr>
                <w:rFonts w:cstheme="minorHAnsi"/>
                <w:b/>
                <w:bCs/>
              </w:rPr>
              <w:t>Oregon DEQ</w:t>
            </w:r>
            <w:r w:rsidR="00676D76" w:rsidRPr="000B67FD">
              <w:rPr>
                <w:rFonts w:cstheme="minorHAnsi"/>
                <w:b/>
                <w:bCs/>
              </w:rPr>
              <w:t xml:space="preserve"> Targeted Brownfield Assessment</w:t>
            </w:r>
            <w:r w:rsidR="00453C23" w:rsidRPr="000B67FD">
              <w:rPr>
                <w:rFonts w:cstheme="minorHAnsi"/>
                <w:b/>
                <w:bCs/>
              </w:rPr>
              <w:t xml:space="preserve"> (TBA)</w:t>
            </w:r>
            <w:r w:rsidR="00C65B91" w:rsidRPr="000B67FD">
              <w:rPr>
                <w:rFonts w:cstheme="minorHAnsi"/>
                <w:b/>
                <w:bCs/>
              </w:rPr>
              <w:t xml:space="preserve"> </w:t>
            </w:r>
            <w:r w:rsidR="00C65B91" w:rsidRPr="000B67FD">
              <w:rPr>
                <w:rFonts w:cstheme="minorHAnsi"/>
              </w:rPr>
              <w:t>– Unsecured (Available upon request)</w:t>
            </w:r>
          </w:p>
        </w:tc>
      </w:tr>
      <w:tr w:rsidR="00C65B91" w:rsidRPr="000B67FD" w14:paraId="7B8AC125" w14:textId="77777777" w:rsidTr="00B27C44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538C7A0" w14:textId="6C697044" w:rsidR="00C65B91" w:rsidRPr="000B67FD" w:rsidRDefault="00C65B91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Purpose: Assessment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B050B2F" w14:textId="313671B0" w:rsidR="00C65B91" w:rsidRPr="000B67FD" w:rsidRDefault="00C65B91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DEQ’s TBA program can provide further assessment if needed</w:t>
            </w:r>
            <w:r w:rsidR="009A3294" w:rsidRPr="000B67FD">
              <w:rPr>
                <w:rFonts w:cstheme="minorHAnsi"/>
              </w:rPr>
              <w:t>.</w:t>
            </w:r>
          </w:p>
        </w:tc>
      </w:tr>
      <w:tr w:rsidR="00676D76" w:rsidRPr="000B67FD" w14:paraId="7959E40B" w14:textId="77777777" w:rsidTr="00A72800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3EFFE0A5" w14:textId="392BE62E" w:rsidR="00676D76" w:rsidRPr="000B67FD" w:rsidRDefault="00676D76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0B67FD">
              <w:rPr>
                <w:rFonts w:cstheme="minorHAnsi"/>
                <w:b/>
                <w:bCs/>
              </w:rPr>
              <w:t xml:space="preserve">Business Oregon Brownfield </w:t>
            </w:r>
            <w:r w:rsidR="00F31321" w:rsidRPr="000B67FD">
              <w:rPr>
                <w:rFonts w:cstheme="minorHAnsi"/>
                <w:b/>
                <w:bCs/>
              </w:rPr>
              <w:t>Program</w:t>
            </w:r>
            <w:r w:rsidR="00C65B91" w:rsidRPr="000B67FD">
              <w:rPr>
                <w:rFonts w:cstheme="minorHAnsi"/>
                <w:b/>
                <w:bCs/>
              </w:rPr>
              <w:t xml:space="preserve"> </w:t>
            </w:r>
            <w:r w:rsidR="00C65B91" w:rsidRPr="000B67FD">
              <w:rPr>
                <w:rFonts w:cstheme="minorHAnsi"/>
              </w:rPr>
              <w:t>– Unsecured (Available upon request)</w:t>
            </w:r>
          </w:p>
        </w:tc>
      </w:tr>
      <w:tr w:rsidR="00C65B91" w:rsidRPr="000B67FD" w14:paraId="4BB4A11C" w14:textId="77777777" w:rsidTr="00A72800"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5156AABB" w14:textId="0CD4B106" w:rsidR="00C65B91" w:rsidRPr="000B67FD" w:rsidRDefault="009A3294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 xml:space="preserve">Purpose: </w:t>
            </w:r>
            <w:r w:rsidR="00C65B91" w:rsidRPr="000B67FD">
              <w:rPr>
                <w:rFonts w:cstheme="minorHAnsi"/>
              </w:rPr>
              <w:t>Assessment, Cleanup, 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3740CAE6" w14:textId="36D01276" w:rsidR="00C65B91" w:rsidRPr="000B67FD" w:rsidRDefault="008610FE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 xml:space="preserve">The Tribe is eligible for </w:t>
            </w:r>
            <w:r w:rsidR="00C65B91" w:rsidRPr="000B67FD">
              <w:rPr>
                <w:rFonts w:cstheme="minorHAnsi"/>
              </w:rPr>
              <w:t>Business Oregon low-interest loans and grants</w:t>
            </w:r>
            <w:r w:rsidRPr="000B67FD">
              <w:rPr>
                <w:rFonts w:cstheme="minorHAnsi"/>
              </w:rPr>
              <w:t xml:space="preserve"> for</w:t>
            </w:r>
            <w:r w:rsidR="00C65B91" w:rsidRPr="000B67FD">
              <w:rPr>
                <w:rFonts w:cstheme="minorHAnsi"/>
              </w:rPr>
              <w:t xml:space="preserve"> </w:t>
            </w:r>
            <w:r w:rsidR="002C5A6B" w:rsidRPr="000B67FD">
              <w:rPr>
                <w:rFonts w:cstheme="minorHAnsi"/>
              </w:rPr>
              <w:t xml:space="preserve">brownfield </w:t>
            </w:r>
            <w:r w:rsidR="00C65B91" w:rsidRPr="000B67FD">
              <w:rPr>
                <w:rFonts w:cstheme="minorHAnsi"/>
              </w:rPr>
              <w:t>assessment, cleanup, and redevelopment planning</w:t>
            </w:r>
            <w:r w:rsidRPr="000B67FD">
              <w:rPr>
                <w:rFonts w:cstheme="minorHAnsi"/>
              </w:rPr>
              <w:t>.</w:t>
            </w:r>
            <w:r w:rsidR="00FC74DA">
              <w:rPr>
                <w:rFonts w:cstheme="minorHAnsi"/>
              </w:rPr>
              <w:t xml:space="preserve"> </w:t>
            </w:r>
            <w:r w:rsidR="006314F3">
              <w:rPr>
                <w:rFonts w:cstheme="minorHAnsi"/>
              </w:rPr>
              <w:t xml:space="preserve">The Tribe has had preliminary discussions with Business Oregon regarding </w:t>
            </w:r>
            <w:r w:rsidR="005D3F95">
              <w:rPr>
                <w:rFonts w:cstheme="minorHAnsi"/>
              </w:rPr>
              <w:t xml:space="preserve">a $500K grant that would be dedicated to </w:t>
            </w:r>
            <w:r w:rsidR="00C27A51">
              <w:rPr>
                <w:rFonts w:cstheme="minorHAnsi"/>
              </w:rPr>
              <w:t>the cleanup project described in this application</w:t>
            </w:r>
            <w:r w:rsidR="006F25AA">
              <w:rPr>
                <w:rFonts w:cstheme="minorHAnsi"/>
              </w:rPr>
              <w:t>.</w:t>
            </w:r>
          </w:p>
        </w:tc>
      </w:tr>
      <w:tr w:rsidR="00676D76" w:rsidRPr="000B67FD" w14:paraId="2F5BD93C" w14:textId="77777777" w:rsidTr="00B27C44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</w:tcPr>
          <w:p w14:paraId="4B058F6B" w14:textId="31C75C21" w:rsidR="00676D76" w:rsidRPr="008F54C1" w:rsidRDefault="00DC531A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8F54C1">
              <w:rPr>
                <w:rFonts w:cstheme="minorHAnsi"/>
                <w:b/>
                <w:bCs/>
              </w:rPr>
              <w:t xml:space="preserve">2022 </w:t>
            </w:r>
            <w:r w:rsidR="00B51758" w:rsidRPr="008F54C1">
              <w:rPr>
                <w:rFonts w:cstheme="minorHAnsi"/>
                <w:b/>
                <w:bCs/>
              </w:rPr>
              <w:t>Congressional Appropriations</w:t>
            </w:r>
            <w:r w:rsidR="00281E52" w:rsidRPr="008F54C1">
              <w:rPr>
                <w:rFonts w:cstheme="minorHAnsi"/>
                <w:b/>
                <w:bCs/>
              </w:rPr>
              <w:t xml:space="preserve"> - </w:t>
            </w:r>
            <w:r w:rsidR="001E3FBB" w:rsidRPr="008F54C1">
              <w:rPr>
                <w:rFonts w:cstheme="minorHAnsi"/>
                <w:b/>
                <w:bCs/>
                <w:color w:val="FF0000"/>
              </w:rPr>
              <w:t xml:space="preserve">$2M </w:t>
            </w:r>
            <w:r w:rsidR="00281E52" w:rsidRPr="008F54C1">
              <w:rPr>
                <w:rFonts w:cstheme="minorHAnsi"/>
                <w:b/>
                <w:bCs/>
                <w:color w:val="FF0000"/>
              </w:rPr>
              <w:t>SECURED</w:t>
            </w:r>
          </w:p>
        </w:tc>
      </w:tr>
      <w:tr w:rsidR="00281E52" w:rsidRPr="000B67FD" w14:paraId="0C1F81DB" w14:textId="77777777" w:rsidTr="00B27C44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F8B4493" w14:textId="43F47BE2" w:rsidR="00281E52" w:rsidRPr="008F54C1" w:rsidRDefault="00D42A25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8F54C1">
              <w:rPr>
                <w:rFonts w:cstheme="minorHAnsi"/>
              </w:rPr>
              <w:t xml:space="preserve">Purpose: </w:t>
            </w:r>
            <w:r w:rsidR="00281E52" w:rsidRPr="008F54C1">
              <w:rPr>
                <w:rFonts w:cstheme="minorHAnsi"/>
              </w:rPr>
              <w:t>Cleanup, 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</w:tcPr>
          <w:p w14:paraId="62E87D65" w14:textId="7DCB16F8" w:rsidR="00281E52" w:rsidRPr="008F54C1" w:rsidRDefault="00281E52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8F54C1">
              <w:rPr>
                <w:rFonts w:cstheme="minorHAnsi"/>
              </w:rPr>
              <w:t>$2M for environmental restoration, demolition, and infrastructure development</w:t>
            </w:r>
            <w:r w:rsidR="00095BC8" w:rsidRPr="008F54C1">
              <w:rPr>
                <w:rFonts w:cstheme="minorHAnsi"/>
              </w:rPr>
              <w:t xml:space="preserve"> on the Site</w:t>
            </w:r>
            <w:r w:rsidR="002453B8" w:rsidRPr="008F54C1">
              <w:rPr>
                <w:rFonts w:cstheme="minorHAnsi"/>
              </w:rPr>
              <w:t>.</w:t>
            </w:r>
            <w:r w:rsidR="003F15C3">
              <w:rPr>
                <w:rFonts w:cstheme="minorHAnsi"/>
              </w:rPr>
              <w:t xml:space="preserve"> </w:t>
            </w:r>
            <w:r w:rsidR="004B33C8">
              <w:rPr>
                <w:rFonts w:cstheme="minorHAnsi"/>
              </w:rPr>
              <w:t xml:space="preserve">$1M of this grant is </w:t>
            </w:r>
            <w:proofErr w:type="gramStart"/>
            <w:r w:rsidR="004B33C8">
              <w:rPr>
                <w:rFonts w:cstheme="minorHAnsi"/>
              </w:rPr>
              <w:t>eligible for use</w:t>
            </w:r>
            <w:proofErr w:type="gramEnd"/>
            <w:r w:rsidR="004B33C8">
              <w:rPr>
                <w:rFonts w:cstheme="minorHAnsi"/>
              </w:rPr>
              <w:t xml:space="preserve"> to fund the cleanup project described in this </w:t>
            </w:r>
            <w:r w:rsidR="001530E3">
              <w:rPr>
                <w:rFonts w:cstheme="minorHAnsi"/>
              </w:rPr>
              <w:t>application.</w:t>
            </w:r>
          </w:p>
        </w:tc>
      </w:tr>
      <w:tr w:rsidR="005F614F" w:rsidRPr="000B67FD" w14:paraId="31F177B5" w14:textId="77777777" w:rsidTr="00A72800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30A480E4" w14:textId="4523DBAF" w:rsidR="005F614F" w:rsidRPr="008F54C1" w:rsidRDefault="005F614F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8F54C1">
              <w:rPr>
                <w:rFonts w:cstheme="minorHAnsi"/>
                <w:b/>
                <w:bCs/>
              </w:rPr>
              <w:t>20</w:t>
            </w:r>
            <w:r w:rsidR="00F704B8">
              <w:rPr>
                <w:rFonts w:cstheme="minorHAnsi"/>
                <w:b/>
                <w:bCs/>
              </w:rPr>
              <w:t>09</w:t>
            </w:r>
            <w:r w:rsidR="00F31311">
              <w:rPr>
                <w:rFonts w:cstheme="minorHAnsi"/>
                <w:b/>
                <w:bCs/>
              </w:rPr>
              <w:t>/2017 Oregon State Parks Bond</w:t>
            </w:r>
            <w:r w:rsidR="00266572" w:rsidRPr="008F54C1">
              <w:rPr>
                <w:rFonts w:cstheme="minorHAnsi"/>
                <w:b/>
                <w:bCs/>
              </w:rPr>
              <w:t>/City of Oregon City Allocation</w:t>
            </w:r>
            <w:r w:rsidR="00281E52" w:rsidRPr="008F54C1">
              <w:rPr>
                <w:rFonts w:cstheme="minorHAnsi"/>
                <w:b/>
                <w:bCs/>
              </w:rPr>
              <w:t xml:space="preserve"> - </w:t>
            </w:r>
            <w:r w:rsidR="001E3FBB" w:rsidRPr="008F54C1">
              <w:rPr>
                <w:rFonts w:cstheme="minorHAnsi"/>
                <w:b/>
                <w:bCs/>
                <w:color w:val="FF0000"/>
              </w:rPr>
              <w:t xml:space="preserve">$12.5M </w:t>
            </w:r>
            <w:r w:rsidR="00281E52" w:rsidRPr="008F54C1">
              <w:rPr>
                <w:rFonts w:cstheme="minorHAnsi"/>
                <w:b/>
                <w:bCs/>
                <w:color w:val="FF0000"/>
              </w:rPr>
              <w:t>SECURED</w:t>
            </w:r>
          </w:p>
        </w:tc>
      </w:tr>
      <w:tr w:rsidR="00281E52" w:rsidRPr="000B67FD" w14:paraId="09798682" w14:textId="77777777" w:rsidTr="002B1425"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1494F0CB" w14:textId="7DC5ACEC" w:rsidR="00281E52" w:rsidRPr="008F54C1" w:rsidRDefault="00D42A25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8F54C1">
              <w:rPr>
                <w:rFonts w:cstheme="minorHAnsi"/>
              </w:rPr>
              <w:t xml:space="preserve">Purpose: </w:t>
            </w:r>
            <w:r w:rsidR="00281E52" w:rsidRPr="008F54C1">
              <w:rPr>
                <w:rFonts w:cstheme="minorHAnsi"/>
              </w:rPr>
              <w:t>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0E63106B" w14:textId="6C66A922" w:rsidR="00281E52" w:rsidRPr="008F54C1" w:rsidRDefault="00281E52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8F54C1">
              <w:rPr>
                <w:rFonts w:cstheme="minorHAnsi"/>
                <w:color w:val="000000" w:themeColor="text1"/>
              </w:rPr>
              <w:t xml:space="preserve">$12.5M </w:t>
            </w:r>
            <w:r w:rsidRPr="008F54C1">
              <w:rPr>
                <w:rFonts w:cstheme="minorHAnsi"/>
              </w:rPr>
              <w:t xml:space="preserve">for </w:t>
            </w:r>
            <w:r w:rsidR="00F31311">
              <w:rPr>
                <w:rFonts w:cstheme="minorHAnsi"/>
              </w:rPr>
              <w:t>R</w:t>
            </w:r>
            <w:r w:rsidRPr="008F54C1">
              <w:rPr>
                <w:rFonts w:cstheme="minorHAnsi"/>
              </w:rPr>
              <w:t>iverwalk development on the Site</w:t>
            </w:r>
            <w:r w:rsidR="00785297" w:rsidRPr="008F54C1">
              <w:rPr>
                <w:rFonts w:cstheme="minorHAnsi"/>
              </w:rPr>
              <w:t>.</w:t>
            </w:r>
          </w:p>
        </w:tc>
      </w:tr>
      <w:tr w:rsidR="00891F16" w:rsidRPr="000B67FD" w14:paraId="29612D04" w14:textId="77777777" w:rsidTr="002B1425">
        <w:tc>
          <w:tcPr>
            <w:tcW w:w="9715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3721DE7D" w14:textId="76D91521" w:rsidR="00891F16" w:rsidRPr="008F54C1" w:rsidRDefault="00F3757D" w:rsidP="0005519C">
            <w:pPr>
              <w:widowControl w:val="0"/>
              <w:spacing w:line="230" w:lineRule="exact"/>
              <w:rPr>
                <w:rFonts w:cstheme="minorHAnsi"/>
                <w:color w:val="000000" w:themeColor="text1"/>
              </w:rPr>
            </w:pPr>
            <w:r w:rsidRPr="00F3757D">
              <w:rPr>
                <w:rFonts w:cstheme="minorHAnsi"/>
                <w:b/>
                <w:bCs/>
              </w:rPr>
              <w:t xml:space="preserve">2019 Metro Parks and Recreation Bond, Large Scale Community Visions - </w:t>
            </w:r>
            <w:r w:rsidRPr="00A459C4">
              <w:rPr>
                <w:rFonts w:cstheme="minorHAnsi"/>
                <w:b/>
                <w:bCs/>
                <w:color w:val="FF0000"/>
              </w:rPr>
              <w:t xml:space="preserve">$20M </w:t>
            </w:r>
            <w:r w:rsidR="00302E64" w:rsidRPr="00A459C4">
              <w:rPr>
                <w:rFonts w:cstheme="minorHAnsi"/>
                <w:b/>
                <w:bCs/>
                <w:color w:val="FF0000"/>
              </w:rPr>
              <w:t>SECURED</w:t>
            </w:r>
          </w:p>
        </w:tc>
      </w:tr>
      <w:tr w:rsidR="00B46D32" w:rsidRPr="000B67FD" w14:paraId="42B2E75F" w14:textId="77777777" w:rsidTr="002B1425">
        <w:tc>
          <w:tcPr>
            <w:tcW w:w="2250" w:type="dxa"/>
            <w:tcBorders>
              <w:top w:val="nil"/>
              <w:left w:val="nil"/>
              <w:bottom w:val="single" w:sz="4" w:space="0" w:color="auto"/>
            </w:tcBorders>
          </w:tcPr>
          <w:p w14:paraId="4896595A" w14:textId="726A71AE" w:rsidR="00B46D32" w:rsidRPr="008F54C1" w:rsidRDefault="008F54C1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8F54C1">
              <w:rPr>
                <w:rFonts w:cstheme="minorHAnsi"/>
              </w:rPr>
              <w:t>Purpose: 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</w:tcPr>
          <w:p w14:paraId="4AEEB56D" w14:textId="3A4AABE6" w:rsidR="00B46D32" w:rsidRPr="008F54C1" w:rsidRDefault="00A459C4" w:rsidP="0005519C">
            <w:pPr>
              <w:widowControl w:val="0"/>
              <w:spacing w:line="230" w:lineRule="exact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$20M for Riverwalk development on the Site</w:t>
            </w:r>
          </w:p>
        </w:tc>
      </w:tr>
      <w:tr w:rsidR="00E4074D" w:rsidRPr="000B67FD" w14:paraId="6F8244BF" w14:textId="77777777" w:rsidTr="002B1425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5F4B86E1" w14:textId="08E123F5" w:rsidR="00E4074D" w:rsidRPr="008F54C1" w:rsidRDefault="00472CB4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FY25 </w:t>
            </w:r>
            <w:r w:rsidR="00354AA2" w:rsidRPr="008F54C1">
              <w:rPr>
                <w:rFonts w:cstheme="minorHAnsi"/>
                <w:b/>
                <w:bCs/>
              </w:rPr>
              <w:t>Federal Highway Administration B</w:t>
            </w:r>
            <w:r>
              <w:rPr>
                <w:rFonts w:cstheme="minorHAnsi"/>
                <w:b/>
                <w:bCs/>
              </w:rPr>
              <w:t>UILD</w:t>
            </w:r>
            <w:r w:rsidR="00354AA2" w:rsidRPr="008F54C1">
              <w:rPr>
                <w:rFonts w:cstheme="minorHAnsi"/>
                <w:b/>
                <w:bCs/>
              </w:rPr>
              <w:t xml:space="preserve"> Grant </w:t>
            </w:r>
            <w:r w:rsidR="00A21A8D" w:rsidRPr="008F54C1">
              <w:rPr>
                <w:rFonts w:cstheme="minorHAnsi"/>
              </w:rPr>
              <w:t>–</w:t>
            </w:r>
            <w:r w:rsidR="00E4074D" w:rsidRPr="008F54C1">
              <w:rPr>
                <w:rFonts w:cstheme="minorHAnsi"/>
              </w:rPr>
              <w:t xml:space="preserve"> </w:t>
            </w:r>
            <w:r w:rsidR="00C72D18" w:rsidRPr="008F54C1">
              <w:rPr>
                <w:rFonts w:cstheme="minorHAnsi"/>
                <w:color w:val="000000" w:themeColor="text1"/>
              </w:rPr>
              <w:t>Unsecured</w:t>
            </w:r>
            <w:r w:rsidR="00A21A8D" w:rsidRPr="008F54C1">
              <w:rPr>
                <w:rFonts w:cstheme="minorHAnsi"/>
                <w:color w:val="000000" w:themeColor="text1"/>
              </w:rPr>
              <w:t xml:space="preserve"> (Application submitt</w:t>
            </w:r>
            <w:r w:rsidR="00A21A8D" w:rsidRPr="00D33502">
              <w:rPr>
                <w:rFonts w:cstheme="minorHAnsi"/>
                <w:color w:val="000000" w:themeColor="text1"/>
              </w:rPr>
              <w:t>ed</w:t>
            </w:r>
            <w:r w:rsidR="001F3D8B" w:rsidRPr="00D33502">
              <w:rPr>
                <w:rFonts w:cstheme="minorHAnsi"/>
                <w:color w:val="000000" w:themeColor="text1"/>
              </w:rPr>
              <w:t xml:space="preserve"> 202</w:t>
            </w:r>
            <w:r w:rsidR="00D33502" w:rsidRPr="00D33502">
              <w:rPr>
                <w:rFonts w:cstheme="minorHAnsi"/>
                <w:color w:val="000000" w:themeColor="text1"/>
              </w:rPr>
              <w:t>6</w:t>
            </w:r>
            <w:r w:rsidR="00A21A8D" w:rsidRPr="008F54C1">
              <w:rPr>
                <w:rFonts w:cstheme="minorHAnsi"/>
                <w:color w:val="000000" w:themeColor="text1"/>
              </w:rPr>
              <w:t>)</w:t>
            </w:r>
          </w:p>
        </w:tc>
      </w:tr>
      <w:tr w:rsidR="00354AA2" w:rsidRPr="000B67FD" w14:paraId="79BE1363" w14:textId="77777777" w:rsidTr="002B1425"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8BC7531" w14:textId="47839DD9" w:rsidR="00354AA2" w:rsidRPr="008F54C1" w:rsidRDefault="00D42A25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8F54C1">
              <w:rPr>
                <w:rFonts w:cstheme="minorHAnsi"/>
              </w:rPr>
              <w:t xml:space="preserve">Purpose: </w:t>
            </w:r>
            <w:r w:rsidR="00354AA2" w:rsidRPr="008F54C1">
              <w:rPr>
                <w:rFonts w:cstheme="minorHAnsi"/>
              </w:rPr>
              <w:t>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00E8B03F" w14:textId="180ED9BA" w:rsidR="00354AA2" w:rsidRPr="001E2A8B" w:rsidRDefault="00354AA2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1E2A8B">
              <w:rPr>
                <w:rFonts w:cstheme="minorHAnsi"/>
              </w:rPr>
              <w:t xml:space="preserve">$8M for </w:t>
            </w:r>
            <w:r w:rsidR="00095BC8" w:rsidRPr="001E2A8B">
              <w:rPr>
                <w:rFonts w:cstheme="minorHAnsi"/>
              </w:rPr>
              <w:t xml:space="preserve">Site </w:t>
            </w:r>
            <w:r w:rsidRPr="001E2A8B">
              <w:rPr>
                <w:rFonts w:eastAsia="Times New Roman" w:cstheme="minorHAnsi"/>
              </w:rPr>
              <w:t>roadway and utility infrastructure</w:t>
            </w:r>
            <w:r w:rsidR="00A21A8D" w:rsidRPr="001E2A8B">
              <w:rPr>
                <w:rFonts w:eastAsia="Times New Roman" w:cstheme="minorHAnsi"/>
              </w:rPr>
              <w:t xml:space="preserve"> – the Tribe applied in 202</w:t>
            </w:r>
            <w:r w:rsidR="001E2A8B" w:rsidRPr="001E2A8B">
              <w:rPr>
                <w:rFonts w:eastAsia="Times New Roman" w:cstheme="minorHAnsi"/>
              </w:rPr>
              <w:t>6</w:t>
            </w:r>
            <w:r w:rsidR="00E35F7A" w:rsidRPr="001E2A8B">
              <w:rPr>
                <w:rFonts w:eastAsia="Times New Roman" w:cstheme="minorHAnsi"/>
              </w:rPr>
              <w:t xml:space="preserve"> and </w:t>
            </w:r>
            <w:r w:rsidR="00BC1A53" w:rsidRPr="001E2A8B">
              <w:rPr>
                <w:rFonts w:eastAsia="Times New Roman" w:cstheme="minorHAnsi"/>
              </w:rPr>
              <w:t xml:space="preserve">is awaiting </w:t>
            </w:r>
            <w:r w:rsidR="002453B8" w:rsidRPr="001E2A8B">
              <w:rPr>
                <w:rFonts w:eastAsia="Times New Roman" w:cstheme="minorHAnsi"/>
              </w:rPr>
              <w:t>notification</w:t>
            </w:r>
            <w:r w:rsidR="00E35F7A" w:rsidRPr="001E2A8B">
              <w:rPr>
                <w:rFonts w:eastAsia="Times New Roman" w:cstheme="minorHAnsi"/>
              </w:rPr>
              <w:t>.</w:t>
            </w:r>
            <w:r w:rsidRPr="001E2A8B">
              <w:rPr>
                <w:rFonts w:eastAsia="Times New Roman" w:cstheme="minorHAnsi"/>
              </w:rPr>
              <w:t xml:space="preserve"> </w:t>
            </w:r>
          </w:p>
        </w:tc>
      </w:tr>
      <w:tr w:rsidR="0057725F" w:rsidRPr="000B67FD" w14:paraId="267CA341" w14:textId="77777777" w:rsidTr="00B46D32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</w:tcPr>
          <w:p w14:paraId="17BF71C7" w14:textId="4D95CE88" w:rsidR="0057725F" w:rsidRPr="000B67FD" w:rsidRDefault="00E27917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CTGR 2024-2029 T</w:t>
            </w:r>
            <w:r w:rsidR="0057725F" w:rsidRPr="000B67FD">
              <w:rPr>
                <w:rFonts w:cstheme="minorHAnsi"/>
                <w:b/>
                <w:bCs/>
              </w:rPr>
              <w:t xml:space="preserve">ransportation </w:t>
            </w:r>
            <w:r>
              <w:rPr>
                <w:rFonts w:cstheme="minorHAnsi"/>
                <w:b/>
                <w:bCs/>
              </w:rPr>
              <w:t xml:space="preserve">Improvement </w:t>
            </w:r>
            <w:r w:rsidR="0057725F" w:rsidRPr="000B67FD">
              <w:rPr>
                <w:rFonts w:cstheme="minorHAnsi"/>
                <w:b/>
                <w:bCs/>
              </w:rPr>
              <w:t xml:space="preserve">Program </w:t>
            </w:r>
            <w:r w:rsidR="0057725F" w:rsidRPr="000B67FD">
              <w:rPr>
                <w:rFonts w:cstheme="minorHAnsi"/>
              </w:rPr>
              <w:t xml:space="preserve">– </w:t>
            </w:r>
            <w:r w:rsidR="005D5F89" w:rsidRPr="005D5F89">
              <w:rPr>
                <w:rFonts w:cstheme="minorHAnsi"/>
                <w:b/>
                <w:bCs/>
                <w:color w:val="FF0000"/>
              </w:rPr>
              <w:t>$2M SECURED</w:t>
            </w:r>
          </w:p>
        </w:tc>
      </w:tr>
      <w:tr w:rsidR="0057725F" w:rsidRPr="000B67FD" w14:paraId="7339EE0E" w14:textId="77777777" w:rsidTr="00B46D32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168FC4CA" w14:textId="137FF0CD" w:rsidR="0057725F" w:rsidRPr="000B67FD" w:rsidRDefault="00480C16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 xml:space="preserve">Purpose: </w:t>
            </w:r>
            <w:r w:rsidR="0057725F" w:rsidRPr="000B67FD">
              <w:rPr>
                <w:rFonts w:cstheme="minorHAnsi"/>
              </w:rPr>
              <w:t>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</w:tcPr>
          <w:p w14:paraId="247D3A7F" w14:textId="19E0B2C2" w:rsidR="0057725F" w:rsidRPr="000B67FD" w:rsidRDefault="0057725F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Funding for road and utility network</w:t>
            </w:r>
            <w:r w:rsidR="00785297">
              <w:rPr>
                <w:rFonts w:cstheme="minorHAnsi"/>
              </w:rPr>
              <w:t xml:space="preserve"> development.</w:t>
            </w:r>
            <w:r w:rsidR="00C02305">
              <w:rPr>
                <w:rFonts w:cstheme="minorHAnsi"/>
              </w:rPr>
              <w:t xml:space="preserve"> Will be used as required match for above </w:t>
            </w:r>
            <w:r w:rsidR="00C933D2">
              <w:rPr>
                <w:rFonts w:cstheme="minorHAnsi"/>
              </w:rPr>
              <w:t>BUILD Grant.</w:t>
            </w:r>
          </w:p>
        </w:tc>
      </w:tr>
      <w:tr w:rsidR="00354AA2" w:rsidRPr="000B67FD" w14:paraId="366BB427" w14:textId="77777777" w:rsidTr="002B1425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4CC82CCE" w14:textId="5503AD81" w:rsidR="00354AA2" w:rsidRPr="00250A53" w:rsidRDefault="00C933D2" w:rsidP="002E55A3">
            <w:pPr>
              <w:widowControl w:val="0"/>
              <w:spacing w:line="230" w:lineRule="exact"/>
              <w:ind w:left="2227" w:hanging="2250"/>
              <w:rPr>
                <w:rFonts w:cstheme="minorHAnsi"/>
                <w:b/>
                <w:bCs/>
              </w:rPr>
            </w:pPr>
            <w:r w:rsidRPr="00250A53">
              <w:rPr>
                <w:rFonts w:cstheme="minorHAnsi"/>
                <w:b/>
                <w:bCs/>
              </w:rPr>
              <w:t xml:space="preserve">FY25 </w:t>
            </w:r>
            <w:r w:rsidR="00354AA2" w:rsidRPr="00250A53">
              <w:rPr>
                <w:rFonts w:cstheme="minorHAnsi"/>
                <w:b/>
                <w:bCs/>
              </w:rPr>
              <w:t xml:space="preserve">NOAA </w:t>
            </w:r>
            <w:r w:rsidR="005402BC" w:rsidRPr="00250A53">
              <w:rPr>
                <w:rFonts w:cstheme="minorHAnsi"/>
                <w:b/>
                <w:bCs/>
              </w:rPr>
              <w:t xml:space="preserve">Transformational Habitat Restoration and Coastal Resilience </w:t>
            </w:r>
            <w:r w:rsidR="00354AA2" w:rsidRPr="00250A53">
              <w:rPr>
                <w:rFonts w:cstheme="minorHAnsi"/>
                <w:b/>
                <w:bCs/>
              </w:rPr>
              <w:t>Grant</w:t>
            </w:r>
            <w:r w:rsidR="00A95519" w:rsidRPr="00250A53">
              <w:rPr>
                <w:rFonts w:cstheme="minorHAnsi"/>
                <w:b/>
                <w:bCs/>
              </w:rPr>
              <w:t xml:space="preserve"> </w:t>
            </w:r>
            <w:r w:rsidR="00EB672B" w:rsidRPr="00250A53">
              <w:rPr>
                <w:rFonts w:cstheme="minorHAnsi"/>
              </w:rPr>
              <w:t xml:space="preserve">– </w:t>
            </w:r>
            <w:r w:rsidR="00EB672B" w:rsidRPr="00250A53">
              <w:rPr>
                <w:rFonts w:cstheme="minorHAnsi"/>
                <w:color w:val="000000" w:themeColor="text1"/>
              </w:rPr>
              <w:t>Unsecured (Application submitted 2025</w:t>
            </w:r>
            <w:r w:rsidR="00250A53" w:rsidRPr="00250A53">
              <w:rPr>
                <w:rFonts w:cstheme="minorHAnsi"/>
                <w:color w:val="000000" w:themeColor="text1"/>
              </w:rPr>
              <w:t>, awaiting award notification</w:t>
            </w:r>
            <w:r w:rsidR="00EB672B" w:rsidRPr="00250A53">
              <w:rPr>
                <w:rFonts w:cstheme="minorHAnsi"/>
                <w:color w:val="000000" w:themeColor="text1"/>
              </w:rPr>
              <w:t>)</w:t>
            </w:r>
          </w:p>
        </w:tc>
      </w:tr>
      <w:tr w:rsidR="00D42A25" w:rsidRPr="000B67FD" w14:paraId="2C09A06C" w14:textId="77777777" w:rsidTr="002B1425"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6803E2A1" w14:textId="753BA85C" w:rsidR="00D42A25" w:rsidRPr="000B67FD" w:rsidRDefault="00D42A25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 xml:space="preserve">Purpose: </w:t>
            </w:r>
            <w:r w:rsidR="00480C16" w:rsidRPr="000B67FD">
              <w:rPr>
                <w:rFonts w:cstheme="minorHAnsi"/>
              </w:rPr>
              <w:t>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1BC9E958" w14:textId="1510351B" w:rsidR="00D42A25" w:rsidRPr="000B67FD" w:rsidRDefault="002B6400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2B6400">
              <w:rPr>
                <w:rFonts w:cstheme="minorHAnsi"/>
              </w:rPr>
              <w:t>$10M for increasing flood storage capacity and enhancing off-channel habitat.</w:t>
            </w:r>
          </w:p>
        </w:tc>
      </w:tr>
      <w:tr w:rsidR="00480C16" w:rsidRPr="000B67FD" w14:paraId="2BC69AB0" w14:textId="77777777" w:rsidTr="00B46D32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</w:tcPr>
          <w:p w14:paraId="5BC4E65E" w14:textId="2E47F25F" w:rsidR="00480C16" w:rsidRPr="000B67FD" w:rsidRDefault="00480C16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0B67FD">
              <w:rPr>
                <w:rFonts w:cstheme="minorHAnsi"/>
                <w:b/>
                <w:bCs/>
              </w:rPr>
              <w:t>Oregon Dept. of Land Conservation and Development (DLCD) Green Infrastructure Grant</w:t>
            </w:r>
            <w:r w:rsidR="00EB672B" w:rsidRPr="000B67FD">
              <w:rPr>
                <w:rFonts w:cstheme="minorHAnsi"/>
                <w:b/>
                <w:bCs/>
              </w:rPr>
              <w:t xml:space="preserve"> </w:t>
            </w:r>
            <w:r w:rsidR="00EB672B" w:rsidRPr="000B67FD">
              <w:rPr>
                <w:rFonts w:cstheme="minorHAnsi"/>
              </w:rPr>
              <w:t>- Unsecured</w:t>
            </w:r>
          </w:p>
        </w:tc>
      </w:tr>
      <w:tr w:rsidR="00673905" w:rsidRPr="000B67FD" w14:paraId="2FAAD0CD" w14:textId="77777777" w:rsidTr="00B46D32"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767AF40" w14:textId="7DF961B4" w:rsidR="00673905" w:rsidRPr="000B67FD" w:rsidRDefault="00480C16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Purpose: 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</w:tcPr>
          <w:p w14:paraId="2FBAE332" w14:textId="1578C13B" w:rsidR="00673905" w:rsidRPr="000B67FD" w:rsidRDefault="00BD56F1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Up to $</w:t>
            </w:r>
            <w:r w:rsidR="004873D6">
              <w:rPr>
                <w:rFonts w:cstheme="minorHAnsi"/>
              </w:rPr>
              <w:t>5</w:t>
            </w:r>
            <w:r w:rsidR="0074151E">
              <w:rPr>
                <w:rFonts w:cstheme="minorHAnsi"/>
              </w:rPr>
              <w:t>0</w:t>
            </w:r>
            <w:r w:rsidRPr="000B67FD">
              <w:rPr>
                <w:rFonts w:cstheme="minorHAnsi"/>
              </w:rPr>
              <w:t>0K for project</w:t>
            </w:r>
            <w:r w:rsidR="00A2049E" w:rsidRPr="000B67FD">
              <w:rPr>
                <w:rFonts w:cstheme="minorHAnsi"/>
              </w:rPr>
              <w:t xml:space="preserve">s that bring green infrastructure such as </w:t>
            </w:r>
            <w:r w:rsidR="00A95519" w:rsidRPr="000B67FD">
              <w:rPr>
                <w:rFonts w:cstheme="minorHAnsi"/>
              </w:rPr>
              <w:t xml:space="preserve">stormwater management, greenspace, </w:t>
            </w:r>
            <w:r w:rsidR="00A2049E" w:rsidRPr="000B67FD">
              <w:rPr>
                <w:rFonts w:cstheme="minorHAnsi"/>
              </w:rPr>
              <w:t xml:space="preserve">bioswales, </w:t>
            </w:r>
            <w:r w:rsidR="00A95519" w:rsidRPr="000B67FD">
              <w:rPr>
                <w:rFonts w:cstheme="minorHAnsi"/>
              </w:rPr>
              <w:t xml:space="preserve">and </w:t>
            </w:r>
            <w:r w:rsidR="00A2049E" w:rsidRPr="000B67FD">
              <w:rPr>
                <w:rFonts w:cstheme="minorHAnsi"/>
              </w:rPr>
              <w:t>green roofs</w:t>
            </w:r>
            <w:r w:rsidR="00A95519" w:rsidRPr="000B67FD">
              <w:rPr>
                <w:rFonts w:cstheme="minorHAnsi"/>
              </w:rPr>
              <w:t>.</w:t>
            </w:r>
          </w:p>
        </w:tc>
      </w:tr>
      <w:tr w:rsidR="002A236A" w:rsidRPr="000B67FD" w14:paraId="11A641C3" w14:textId="77777777" w:rsidTr="002B1425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14:paraId="5DD6B9E4" w14:textId="144CC62C" w:rsidR="002A236A" w:rsidRPr="002A236A" w:rsidRDefault="002A236A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2A236A">
              <w:rPr>
                <w:rFonts w:cstheme="minorHAnsi"/>
                <w:b/>
                <w:bCs/>
              </w:rPr>
              <w:t>Oregon DLCD Transportation and Growth Management Grants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2A236A">
              <w:rPr>
                <w:rFonts w:cstheme="minorHAnsi"/>
              </w:rPr>
              <w:t>- Unsecured</w:t>
            </w:r>
          </w:p>
        </w:tc>
      </w:tr>
      <w:tr w:rsidR="002A236A" w:rsidRPr="000B67FD" w14:paraId="3F07E9AF" w14:textId="77777777" w:rsidTr="002B1425">
        <w:tc>
          <w:tcPr>
            <w:tcW w:w="225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7CB1B337" w14:textId="724F0DCE" w:rsidR="002A236A" w:rsidRPr="000B67FD" w:rsidRDefault="00106E84" w:rsidP="0005519C">
            <w:pPr>
              <w:widowControl w:val="0"/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Purpose: Reuse</w:t>
            </w:r>
          </w:p>
        </w:tc>
        <w:tc>
          <w:tcPr>
            <w:tcW w:w="7465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14:paraId="48354795" w14:textId="32B0B5FF" w:rsidR="002A236A" w:rsidRPr="000B67FD" w:rsidRDefault="00006D0E" w:rsidP="0005519C">
            <w:pPr>
              <w:widowControl w:val="0"/>
              <w:spacing w:line="230" w:lineRule="exact"/>
              <w:rPr>
                <w:rFonts w:cstheme="minorHAnsi"/>
              </w:rPr>
            </w:pPr>
            <w:r>
              <w:rPr>
                <w:rFonts w:cstheme="minorHAnsi"/>
              </w:rPr>
              <w:t>Up to $350K</w:t>
            </w:r>
            <w:r w:rsidR="00A97C10">
              <w:rPr>
                <w:rFonts w:cstheme="minorHAnsi"/>
              </w:rPr>
              <w:t xml:space="preserve"> for transportation planning and implementation</w:t>
            </w:r>
            <w:r w:rsidR="008179DC">
              <w:rPr>
                <w:rFonts w:cstheme="minorHAnsi"/>
              </w:rPr>
              <w:t>.</w:t>
            </w:r>
          </w:p>
        </w:tc>
      </w:tr>
      <w:tr w:rsidR="00354AA2" w:rsidRPr="000B67FD" w14:paraId="289D7B4B" w14:textId="77777777" w:rsidTr="00B46D32">
        <w:tc>
          <w:tcPr>
            <w:tcW w:w="9715" w:type="dxa"/>
            <w:gridSpan w:val="2"/>
            <w:tcBorders>
              <w:top w:val="single" w:sz="4" w:space="0" w:color="auto"/>
              <w:bottom w:val="nil"/>
            </w:tcBorders>
          </w:tcPr>
          <w:p w14:paraId="10E47D09" w14:textId="4BF17BD2" w:rsidR="00354AA2" w:rsidRPr="000B67FD" w:rsidRDefault="00354AA2" w:rsidP="0005519C">
            <w:pPr>
              <w:widowControl w:val="0"/>
              <w:spacing w:line="230" w:lineRule="exact"/>
              <w:rPr>
                <w:rFonts w:cstheme="minorHAnsi"/>
                <w:b/>
                <w:bCs/>
              </w:rPr>
            </w:pPr>
            <w:r w:rsidRPr="000B67FD">
              <w:rPr>
                <w:rFonts w:cstheme="minorHAnsi"/>
                <w:b/>
                <w:bCs/>
              </w:rPr>
              <w:t>Metro Planning &amp; Development and Nature in Neighborhoods Grants</w:t>
            </w:r>
            <w:r w:rsidR="0057725F" w:rsidRPr="000B67FD">
              <w:rPr>
                <w:rFonts w:cstheme="minorHAnsi"/>
                <w:b/>
                <w:bCs/>
              </w:rPr>
              <w:t xml:space="preserve"> </w:t>
            </w:r>
            <w:r w:rsidR="0057725F" w:rsidRPr="000B67FD">
              <w:rPr>
                <w:rFonts w:cstheme="minorHAnsi"/>
              </w:rPr>
              <w:t>- Unsecured</w:t>
            </w:r>
          </w:p>
        </w:tc>
      </w:tr>
      <w:tr w:rsidR="00F273A3" w:rsidRPr="000B67FD" w14:paraId="7E62B7F1" w14:textId="77777777" w:rsidTr="00B46D32">
        <w:tc>
          <w:tcPr>
            <w:tcW w:w="2250" w:type="dxa"/>
            <w:tcBorders>
              <w:top w:val="nil"/>
            </w:tcBorders>
          </w:tcPr>
          <w:p w14:paraId="73BB2EE5" w14:textId="386FBE39" w:rsidR="00F273A3" w:rsidRPr="000B67FD" w:rsidRDefault="00F273A3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Purpose: Reuse</w:t>
            </w:r>
          </w:p>
        </w:tc>
        <w:tc>
          <w:tcPr>
            <w:tcW w:w="7465" w:type="dxa"/>
            <w:tcBorders>
              <w:top w:val="nil"/>
            </w:tcBorders>
          </w:tcPr>
          <w:p w14:paraId="5F9BFDC1" w14:textId="53C08CA3" w:rsidR="00F273A3" w:rsidRPr="000B67FD" w:rsidRDefault="001322A2" w:rsidP="0005519C">
            <w:pPr>
              <w:widowControl w:val="0"/>
              <w:spacing w:line="230" w:lineRule="exact"/>
              <w:rPr>
                <w:rFonts w:cstheme="minorHAnsi"/>
              </w:rPr>
            </w:pPr>
            <w:r w:rsidRPr="000B67FD">
              <w:rPr>
                <w:rFonts w:cstheme="minorHAnsi"/>
              </w:rPr>
              <w:t>Metro offers a variety of grants for reuse planning</w:t>
            </w:r>
            <w:r w:rsidR="0057725F" w:rsidRPr="000B67FD">
              <w:rPr>
                <w:rFonts w:cstheme="minorHAnsi"/>
              </w:rPr>
              <w:t xml:space="preserve"> and</w:t>
            </w:r>
            <w:r w:rsidRPr="000B67FD">
              <w:rPr>
                <w:rFonts w:cstheme="minorHAnsi"/>
              </w:rPr>
              <w:t xml:space="preserve"> </w:t>
            </w:r>
            <w:r w:rsidR="00293F92" w:rsidRPr="000B67FD">
              <w:rPr>
                <w:rFonts w:cstheme="minorHAnsi"/>
              </w:rPr>
              <w:t>habitat restoration</w:t>
            </w:r>
            <w:r w:rsidR="0057725F" w:rsidRPr="000B67FD">
              <w:rPr>
                <w:rFonts w:cstheme="minorHAnsi"/>
              </w:rPr>
              <w:t>.</w:t>
            </w:r>
            <w:r w:rsidR="00293F92" w:rsidRPr="000B67FD">
              <w:rPr>
                <w:rFonts w:cstheme="minorHAnsi"/>
              </w:rPr>
              <w:t xml:space="preserve"> </w:t>
            </w:r>
          </w:p>
        </w:tc>
      </w:tr>
    </w:tbl>
    <w:p w14:paraId="1F20D9B9" w14:textId="48821E16" w:rsidR="00F97CFD" w:rsidRPr="003F46FD" w:rsidRDefault="00021BC2" w:rsidP="003F46FD">
      <w:pPr>
        <w:spacing w:before="80" w:after="40" w:line="240" w:lineRule="exact"/>
        <w:rPr>
          <w:rFonts w:eastAsia="Times New Roman" w:cstheme="minorHAnsi"/>
          <w:sz w:val="24"/>
          <w:szCs w:val="24"/>
        </w:rPr>
      </w:pPr>
      <w:r w:rsidRPr="003F46FD">
        <w:rPr>
          <w:rFonts w:cstheme="minorHAnsi"/>
          <w:b/>
          <w:sz w:val="24"/>
          <w:szCs w:val="24"/>
          <w:u w:val="single"/>
        </w:rPr>
        <w:lastRenderedPageBreak/>
        <w:t>1.</w:t>
      </w:r>
      <w:r w:rsidR="00C96E23" w:rsidRPr="003F46FD">
        <w:rPr>
          <w:rFonts w:cstheme="minorHAnsi"/>
          <w:b/>
          <w:sz w:val="24"/>
          <w:szCs w:val="24"/>
          <w:u w:val="single"/>
        </w:rPr>
        <w:t>h</w:t>
      </w:r>
      <w:r w:rsidRPr="003F46FD">
        <w:rPr>
          <w:rFonts w:cstheme="minorHAnsi"/>
          <w:b/>
          <w:sz w:val="24"/>
          <w:szCs w:val="24"/>
          <w:u w:val="single"/>
        </w:rPr>
        <w:t>. Use of Existing Infrastructure</w:t>
      </w:r>
      <w:r w:rsidR="00CB791B" w:rsidRPr="003F46FD">
        <w:rPr>
          <w:rFonts w:cstheme="minorHAnsi"/>
          <w:b/>
          <w:sz w:val="24"/>
          <w:szCs w:val="24"/>
        </w:rPr>
        <w:t>:</w:t>
      </w:r>
      <w:r w:rsidR="006C2E6C" w:rsidRPr="003F46FD">
        <w:rPr>
          <w:rFonts w:cstheme="minorHAnsi"/>
          <w:b/>
          <w:sz w:val="24"/>
          <w:szCs w:val="24"/>
        </w:rPr>
        <w:t xml:space="preserve"> </w:t>
      </w:r>
      <w:r w:rsidR="00C627E3" w:rsidRPr="003F46FD">
        <w:rPr>
          <w:rFonts w:cstheme="minorHAnsi"/>
          <w:bCs/>
          <w:sz w:val="24"/>
          <w:szCs w:val="24"/>
        </w:rPr>
        <w:t>R</w:t>
      </w:r>
      <w:r w:rsidR="003F0500" w:rsidRPr="003F46FD">
        <w:rPr>
          <w:rFonts w:eastAsia="Calibri" w:cstheme="minorHAnsi"/>
          <w:sz w:val="24"/>
          <w:szCs w:val="24"/>
        </w:rPr>
        <w:t>e</w:t>
      </w:r>
      <w:r w:rsidR="00A27B45" w:rsidRPr="003F46FD">
        <w:rPr>
          <w:rFonts w:eastAsia="Calibri" w:cstheme="minorHAnsi"/>
          <w:sz w:val="24"/>
          <w:szCs w:val="24"/>
        </w:rPr>
        <w:t xml:space="preserve">vitalization plans include adaptive reuse of </w:t>
      </w:r>
      <w:r w:rsidR="00B154D0" w:rsidRPr="003F46FD">
        <w:rPr>
          <w:rFonts w:eastAsia="Calibri" w:cstheme="minorHAnsi"/>
          <w:sz w:val="24"/>
          <w:szCs w:val="24"/>
        </w:rPr>
        <w:t xml:space="preserve">selected </w:t>
      </w:r>
      <w:r w:rsidR="00A27B45" w:rsidRPr="003F46FD">
        <w:rPr>
          <w:rFonts w:eastAsia="Calibri" w:cstheme="minorHAnsi"/>
          <w:sz w:val="24"/>
          <w:szCs w:val="24"/>
        </w:rPr>
        <w:t>buildings</w:t>
      </w:r>
      <w:r w:rsidR="00A24962" w:rsidRPr="003F46FD">
        <w:rPr>
          <w:rFonts w:eastAsia="Calibri" w:cstheme="minorHAnsi"/>
          <w:sz w:val="24"/>
          <w:szCs w:val="24"/>
        </w:rPr>
        <w:t xml:space="preserve"> and structures </w:t>
      </w:r>
      <w:r w:rsidR="00C627E3" w:rsidRPr="003F46FD">
        <w:rPr>
          <w:rFonts w:eastAsia="Calibri" w:cstheme="minorHAnsi"/>
          <w:sz w:val="24"/>
          <w:szCs w:val="24"/>
        </w:rPr>
        <w:t>for</w:t>
      </w:r>
      <w:r w:rsidR="00A24962" w:rsidRPr="003F46FD">
        <w:rPr>
          <w:rFonts w:eastAsia="Calibri" w:cstheme="minorHAnsi"/>
          <w:sz w:val="24"/>
          <w:szCs w:val="24"/>
        </w:rPr>
        <w:t xml:space="preserve"> </w:t>
      </w:r>
      <w:r w:rsidR="00B154D0" w:rsidRPr="003F46FD">
        <w:rPr>
          <w:rFonts w:eastAsia="Calibri" w:cstheme="minorHAnsi"/>
          <w:sz w:val="24"/>
          <w:szCs w:val="24"/>
        </w:rPr>
        <w:t>use</w:t>
      </w:r>
      <w:r w:rsidR="00A24962" w:rsidRPr="003F46FD">
        <w:rPr>
          <w:rFonts w:eastAsia="Calibri" w:cstheme="minorHAnsi"/>
          <w:sz w:val="24"/>
          <w:szCs w:val="24"/>
        </w:rPr>
        <w:t xml:space="preserve"> and as sculptural elements in open spaces</w:t>
      </w:r>
      <w:r w:rsidR="00A27B45" w:rsidRPr="003F46FD">
        <w:rPr>
          <w:rFonts w:eastAsia="Calibri" w:cstheme="minorHAnsi"/>
          <w:sz w:val="24"/>
          <w:szCs w:val="24"/>
        </w:rPr>
        <w:t>.</w:t>
      </w:r>
      <w:r w:rsidR="00217FD4">
        <w:rPr>
          <w:rFonts w:eastAsia="Calibri" w:cstheme="minorHAnsi"/>
          <w:sz w:val="24"/>
          <w:szCs w:val="24"/>
        </w:rPr>
        <w:t xml:space="preserve"> </w:t>
      </w:r>
      <w:r w:rsidR="00217FD4" w:rsidRPr="00217FD4">
        <w:rPr>
          <w:rFonts w:eastAsia="Calibri" w:cstheme="minorHAnsi"/>
          <w:sz w:val="24"/>
          <w:szCs w:val="24"/>
        </w:rPr>
        <w:t xml:space="preserve">Because this project is true infill development adjacent to downtown Oregon City, it </w:t>
      </w:r>
      <w:r w:rsidR="00656F6A">
        <w:rPr>
          <w:rFonts w:eastAsia="Calibri" w:cstheme="minorHAnsi"/>
          <w:sz w:val="24"/>
          <w:szCs w:val="24"/>
        </w:rPr>
        <w:t>will</w:t>
      </w:r>
      <w:r w:rsidR="00217FD4" w:rsidRPr="00217FD4">
        <w:rPr>
          <w:rFonts w:eastAsia="Calibri" w:cstheme="minorHAnsi"/>
          <w:sz w:val="24"/>
          <w:szCs w:val="24"/>
        </w:rPr>
        <w:t xml:space="preserve"> capitalize on the existing infrastructure framework </w:t>
      </w:r>
      <w:r w:rsidR="00656F6A">
        <w:rPr>
          <w:rFonts w:eastAsia="Calibri" w:cstheme="minorHAnsi"/>
          <w:sz w:val="24"/>
          <w:szCs w:val="24"/>
        </w:rPr>
        <w:t>i</w:t>
      </w:r>
      <w:r w:rsidR="00217FD4" w:rsidRPr="00217FD4">
        <w:rPr>
          <w:rFonts w:eastAsia="Calibri" w:cstheme="minorHAnsi"/>
          <w:sz w:val="24"/>
          <w:szCs w:val="24"/>
        </w:rPr>
        <w:t xml:space="preserve">ncluding utility corridors, roadway connections, and service networks. </w:t>
      </w:r>
      <w:r w:rsidR="00906C6C">
        <w:rPr>
          <w:rFonts w:eastAsia="Calibri" w:cstheme="minorHAnsi"/>
          <w:sz w:val="24"/>
          <w:szCs w:val="24"/>
        </w:rPr>
        <w:t xml:space="preserve">Existing Site infrastructure requires </w:t>
      </w:r>
      <w:r w:rsidR="00435E66" w:rsidRPr="00435E66">
        <w:rPr>
          <w:rFonts w:eastAsia="Calibri" w:cstheme="minorHAnsi"/>
          <w:sz w:val="24"/>
          <w:szCs w:val="24"/>
        </w:rPr>
        <w:t>upgrades to meet current capacity and safety standards.</w:t>
      </w:r>
      <w:r w:rsidR="00906C6C">
        <w:rPr>
          <w:rFonts w:eastAsia="Calibri" w:cstheme="minorHAnsi"/>
          <w:sz w:val="24"/>
          <w:szCs w:val="24"/>
        </w:rPr>
        <w:t xml:space="preserve"> </w:t>
      </w:r>
      <w:r w:rsidR="00486E7E" w:rsidRPr="003F46FD">
        <w:rPr>
          <w:rFonts w:eastAsia="Times New Roman" w:cstheme="minorHAnsi"/>
          <w:sz w:val="24"/>
          <w:szCs w:val="24"/>
        </w:rPr>
        <w:t xml:space="preserve">In addition to the Tribe’s secured funds and the eligible sources listed in Section 1g, the Tribe is well positioned to </w:t>
      </w:r>
      <w:r w:rsidR="00A5599A">
        <w:rPr>
          <w:rFonts w:eastAsia="Times New Roman" w:cstheme="minorHAnsi"/>
          <w:sz w:val="24"/>
          <w:szCs w:val="24"/>
        </w:rPr>
        <w:t>receive</w:t>
      </w:r>
      <w:r w:rsidR="00486E7E" w:rsidRPr="003F46FD">
        <w:rPr>
          <w:rFonts w:eastAsia="Times New Roman" w:cstheme="minorHAnsi"/>
          <w:sz w:val="24"/>
          <w:szCs w:val="24"/>
        </w:rPr>
        <w:t xml:space="preserve"> infrastructure financing through the Oregon Special Public Works Fund, Oregon Water/Wastewater Fund, Oregon Regional Solutions Infrastructure Fund, and U.S. Economic Development Administration programs</w:t>
      </w:r>
      <w:r w:rsidR="003557C0">
        <w:rPr>
          <w:rFonts w:eastAsia="Times New Roman" w:cstheme="minorHAnsi"/>
          <w:sz w:val="24"/>
          <w:szCs w:val="24"/>
        </w:rPr>
        <w:t xml:space="preserve"> to support these improvements</w:t>
      </w:r>
      <w:r w:rsidR="003F46FD">
        <w:rPr>
          <w:rFonts w:eastAsia="Times New Roman" w:cstheme="minorHAnsi"/>
          <w:sz w:val="24"/>
          <w:szCs w:val="24"/>
        </w:rPr>
        <w:t>.</w:t>
      </w:r>
    </w:p>
    <w:p w14:paraId="5F60B7EA" w14:textId="249D1EB0" w:rsidR="006D20F4" w:rsidRPr="000944D7" w:rsidRDefault="001F1B70" w:rsidP="0066672A">
      <w:pPr>
        <w:keepLines/>
        <w:widowControl w:val="0"/>
        <w:spacing w:after="0" w:line="240" w:lineRule="exact"/>
        <w:rPr>
          <w:rFonts w:cstheme="minorHAnsi"/>
          <w:sz w:val="24"/>
        </w:rPr>
      </w:pPr>
      <w:r w:rsidRPr="0028439B">
        <w:rPr>
          <w:rFonts w:cstheme="minorHAnsi"/>
          <w:b/>
          <w:noProof/>
          <w:spacing w:val="-8"/>
          <w:sz w:val="24"/>
          <w:szCs w:val="24"/>
          <w:highlight w:val="yellow"/>
          <w:u w:val="single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04A9439" wp14:editId="5EE771A5">
                <wp:simplePos x="0" y="0"/>
                <wp:positionH relativeFrom="margin">
                  <wp:posOffset>0</wp:posOffset>
                </wp:positionH>
                <wp:positionV relativeFrom="paragraph">
                  <wp:posOffset>536906</wp:posOffset>
                </wp:positionV>
                <wp:extent cx="2872105" cy="1771650"/>
                <wp:effectExtent l="0" t="0" r="4445" b="0"/>
                <wp:wrapTight wrapText="bothSides">
                  <wp:wrapPolygon edited="0">
                    <wp:start x="0" y="0"/>
                    <wp:lineTo x="0" y="21368"/>
                    <wp:lineTo x="21490" y="21368"/>
                    <wp:lineTo x="2149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10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Overlap w:val="nev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763"/>
                              <w:gridCol w:w="917"/>
                              <w:gridCol w:w="917"/>
                              <w:gridCol w:w="917"/>
                            </w:tblGrid>
                            <w:tr w:rsidR="000035F1" w:rsidRPr="000B67FD" w14:paraId="7503A917" w14:textId="77777777" w:rsidTr="000D5308">
                              <w:tc>
                                <w:tcPr>
                                  <w:tcW w:w="1885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579AC7B" w14:textId="387183BE" w:rsidR="0028439B" w:rsidRPr="00ED5E02" w:rsidRDefault="0028439B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</w:rPr>
                                  </w:pPr>
                                  <w:r w:rsidRPr="00ED5E02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</w:rPr>
                                    <w:t>Table 1</w:t>
                                  </w:r>
                                  <w:r w:rsidR="00ED5E02" w:rsidRPr="00ED5E02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</w:rPr>
                                    <w:t>:</w:t>
                                  </w:r>
                                  <w:r w:rsidRPr="00ED5E02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</w:rPr>
                                    <w:t xml:space="preserve">  Indicator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7DAC126" w14:textId="77777777" w:rsidR="0028439B" w:rsidRPr="00EB27CE" w:rsidRDefault="0028439B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Tribe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E30C02C" w14:textId="77777777" w:rsidR="0028439B" w:rsidRPr="00F71DB5" w:rsidRDefault="0028439B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F71DB5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Oregon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F492B01" w14:textId="77777777" w:rsidR="0028439B" w:rsidRPr="00F71DB5" w:rsidRDefault="0028439B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F71DB5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US</w:t>
                                  </w:r>
                                </w:p>
                              </w:tc>
                            </w:tr>
                            <w:tr w:rsidR="00D00D12" w:rsidRPr="000B67FD" w14:paraId="1F4BA834" w14:textId="77777777" w:rsidTr="000D5308"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14:paraId="287ACE7E" w14:textId="77777777" w:rsidR="00D00D12" w:rsidRPr="00EB27CE" w:rsidRDefault="00D00D12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Median Household Income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0A508A6C" w14:textId="77777777" w:rsidR="00D00D12" w:rsidRPr="00EB27CE" w:rsidRDefault="00D00D12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$26,667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4EDB121F" w14:textId="2F1C4D18" w:rsidR="00D00D12" w:rsidRPr="00F71DB5" w:rsidRDefault="00D00D12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F71DB5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$80,426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455314A4" w14:textId="591AE486" w:rsidR="00D00D12" w:rsidRPr="00F71DB5" w:rsidRDefault="00D00D12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F71DB5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$</w:t>
                                  </w:r>
                                  <w:r w:rsidR="003C5E23" w:rsidRPr="00F71DB5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78,538</w:t>
                                  </w:r>
                                </w:p>
                              </w:tc>
                            </w:tr>
                            <w:tr w:rsidR="00284500" w:rsidRPr="000B67FD" w14:paraId="6551A392" w14:textId="77777777" w:rsidTr="000D5308"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14:paraId="34809773" w14:textId="07D553DD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Unemployment 2019-2023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443EF856" w14:textId="1DFF0820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9.2%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3EC9C1C0" w14:textId="5BE76800" w:rsidR="00284500" w:rsidRPr="00D20CD1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3.3%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5D1AB9AA" w14:textId="578DA090" w:rsidR="00284500" w:rsidRPr="00D20CD1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3.3%</w:t>
                                  </w:r>
                                </w:p>
                              </w:tc>
                            </w:tr>
                            <w:tr w:rsidR="00284500" w:rsidRPr="000B67FD" w14:paraId="0AF3DCF9" w14:textId="77777777" w:rsidTr="000D5308"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14:paraId="07FCF8B3" w14:textId="4440518B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Poverty (all people)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0EDDAAA5" w14:textId="74C4A2F3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44.9%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68E83795" w14:textId="1A7C5672" w:rsidR="00284500" w:rsidRPr="00D20CD1" w:rsidRDefault="00870F09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11.9%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2FA93F73" w14:textId="184D6AE5" w:rsidR="00284500" w:rsidRPr="00D20CD1" w:rsidRDefault="00C57BE5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12.4%</w:t>
                                  </w:r>
                                </w:p>
                              </w:tc>
                            </w:tr>
                            <w:tr w:rsidR="00284500" w:rsidRPr="000B67FD" w14:paraId="69CAB6CD" w14:textId="77777777" w:rsidTr="0081327D">
                              <w:trPr>
                                <w:trHeight w:val="311"/>
                              </w:trPr>
                              <w:tc>
                                <w:tcPr>
                                  <w:tcW w:w="1885" w:type="dxa"/>
                                  <w:vAlign w:val="center"/>
                                </w:tcPr>
                                <w:p w14:paraId="4870E6CB" w14:textId="221DBC60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Poverty Age &lt;18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Align w:val="center"/>
                                </w:tcPr>
                                <w:p w14:paraId="2E52C546" w14:textId="7C0914F7" w:rsidR="00284500" w:rsidRPr="00EB27CE" w:rsidRDefault="00284500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EB27CE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46.9%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3866EBDE" w14:textId="68E9BAFE" w:rsidR="00284500" w:rsidRPr="00D20CD1" w:rsidRDefault="000D5308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12.9%</w:t>
                                  </w:r>
                                </w:p>
                              </w:tc>
                              <w:tc>
                                <w:tcPr>
                                  <w:tcW w:w="917" w:type="dxa"/>
                                  <w:vAlign w:val="center"/>
                                </w:tcPr>
                                <w:p w14:paraId="5F736A87" w14:textId="17E41AEC" w:rsidR="00284500" w:rsidRPr="00D20CD1" w:rsidRDefault="000D5308" w:rsidP="00FF61B5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suppressOverlap/>
                                    <w:jc w:val="center"/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D20CD1">
                                    <w:rPr>
                                      <w:rFonts w:eastAsia="Calibri" w:cstheme="minorHAnsi"/>
                                      <w:spacing w:val="-8"/>
                                      <w:sz w:val="23"/>
                                      <w:szCs w:val="23"/>
                                    </w:rPr>
                                    <w:t>16%</w:t>
                                  </w:r>
                                </w:p>
                              </w:tc>
                            </w:tr>
                          </w:tbl>
                          <w:p w14:paraId="1B1113ED" w14:textId="1F127379" w:rsidR="0028439B" w:rsidRPr="0081327D" w:rsidRDefault="00D26895" w:rsidP="00D26895">
                            <w:pPr>
                              <w:spacing w:after="0" w:line="180" w:lineRule="exac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81327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Source: </w:t>
                            </w:r>
                            <w:r w:rsidR="00E35E10" w:rsidRPr="0081327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2023 5-Year </w:t>
                            </w:r>
                            <w:r w:rsidR="00AF55EA" w:rsidRPr="0081327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US Census American Community Survey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94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2.3pt;width:226.15pt;height:139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" stroked="f">
                <v:textbox inset="0,,0">
                  <w:txbxContent>
                    <w:tbl>
                      <w:tblPr>
                        <w:tblStyle w:val="TableGrid"/>
                        <w:tblOverlap w:val="nev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763"/>
                        <w:gridCol w:w="917"/>
                        <w:gridCol w:w="917"/>
                        <w:gridCol w:w="917"/>
                      </w:tblGrid>
                      <w:tr w:rsidR="000035F1" w:rsidRPr="000B67FD" w14:paraId="7503A917" w14:textId="77777777" w:rsidTr="000D5308">
                        <w:tc>
                          <w:tcPr>
                            <w:tcW w:w="1885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579AC7B" w14:textId="387183BE" w:rsidR="0028439B" w:rsidRPr="00ED5E02" w:rsidRDefault="0028439B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</w:rPr>
                            </w:pPr>
                            <w:r w:rsidRPr="00ED5E02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</w:rPr>
                              <w:t>Table 1</w:t>
                            </w:r>
                            <w:r w:rsidR="00ED5E02" w:rsidRPr="00ED5E02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</w:rPr>
                              <w:t>:</w:t>
                            </w:r>
                            <w:r w:rsidRPr="00ED5E02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</w:rPr>
                              <w:t xml:space="preserve">  Indicator</w:t>
                            </w:r>
                          </w:p>
                        </w:tc>
                        <w:tc>
                          <w:tcPr>
                            <w:tcW w:w="78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7DAC126" w14:textId="77777777" w:rsidR="0028439B" w:rsidRPr="00EB27CE" w:rsidRDefault="0028439B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Tribe</w:t>
                            </w:r>
                          </w:p>
                        </w:tc>
                        <w:tc>
                          <w:tcPr>
                            <w:tcW w:w="91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4E30C02C" w14:textId="77777777" w:rsidR="0028439B" w:rsidRPr="00F71DB5" w:rsidRDefault="0028439B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F71DB5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Oregon</w:t>
                            </w:r>
                          </w:p>
                        </w:tc>
                        <w:tc>
                          <w:tcPr>
                            <w:tcW w:w="917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F492B01" w14:textId="77777777" w:rsidR="0028439B" w:rsidRPr="00F71DB5" w:rsidRDefault="0028439B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F71DB5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US</w:t>
                            </w:r>
                          </w:p>
                        </w:tc>
                      </w:tr>
                      <w:tr w:rsidR="00D00D12" w:rsidRPr="000B67FD" w14:paraId="1F4BA834" w14:textId="77777777" w:rsidTr="000D5308">
                        <w:tc>
                          <w:tcPr>
                            <w:tcW w:w="1885" w:type="dxa"/>
                            <w:vAlign w:val="center"/>
                          </w:tcPr>
                          <w:p w14:paraId="287ACE7E" w14:textId="77777777" w:rsidR="00D00D12" w:rsidRPr="00EB27CE" w:rsidRDefault="00D00D12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Median Household Income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0A508A6C" w14:textId="77777777" w:rsidR="00D00D12" w:rsidRPr="00EB27CE" w:rsidRDefault="00D00D12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$26,667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4EDB121F" w14:textId="2F1C4D18" w:rsidR="00D00D12" w:rsidRPr="00F71DB5" w:rsidRDefault="00D00D12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F71DB5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$80,426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455314A4" w14:textId="591AE486" w:rsidR="00D00D12" w:rsidRPr="00F71DB5" w:rsidRDefault="00D00D12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F71DB5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$</w:t>
                            </w:r>
                            <w:r w:rsidR="003C5E23" w:rsidRPr="00F71DB5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78,538</w:t>
                            </w:r>
                          </w:p>
                        </w:tc>
                      </w:tr>
                      <w:tr w:rsidR="00284500" w:rsidRPr="000B67FD" w14:paraId="6551A392" w14:textId="77777777" w:rsidTr="000D5308">
                        <w:tc>
                          <w:tcPr>
                            <w:tcW w:w="1885" w:type="dxa"/>
                            <w:vAlign w:val="center"/>
                          </w:tcPr>
                          <w:p w14:paraId="34809773" w14:textId="07D553DD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Unemployment 2019-2023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443EF856" w14:textId="1DFF0820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9.2%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3EC9C1C0" w14:textId="5BE76800" w:rsidR="00284500" w:rsidRPr="00D20CD1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3.3%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5D1AB9AA" w14:textId="578DA090" w:rsidR="00284500" w:rsidRPr="00D20CD1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3.3%</w:t>
                            </w:r>
                          </w:p>
                        </w:tc>
                      </w:tr>
                      <w:tr w:rsidR="00284500" w:rsidRPr="000B67FD" w14:paraId="0AF3DCF9" w14:textId="77777777" w:rsidTr="000D5308">
                        <w:tc>
                          <w:tcPr>
                            <w:tcW w:w="1885" w:type="dxa"/>
                            <w:vAlign w:val="center"/>
                          </w:tcPr>
                          <w:p w14:paraId="07FCF8B3" w14:textId="4440518B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Poverty (all people)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0EDDAAA5" w14:textId="74C4A2F3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44.9%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68E83795" w14:textId="1A7C5672" w:rsidR="00284500" w:rsidRPr="00D20CD1" w:rsidRDefault="00870F09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11.9%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2FA93F73" w14:textId="184D6AE5" w:rsidR="00284500" w:rsidRPr="00D20CD1" w:rsidRDefault="00C57BE5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12.4%</w:t>
                            </w:r>
                          </w:p>
                        </w:tc>
                      </w:tr>
                      <w:tr w:rsidR="00284500" w:rsidRPr="000B67FD" w14:paraId="69CAB6CD" w14:textId="77777777" w:rsidTr="0081327D">
                        <w:trPr>
                          <w:trHeight w:val="311"/>
                        </w:trPr>
                        <w:tc>
                          <w:tcPr>
                            <w:tcW w:w="1885" w:type="dxa"/>
                            <w:vAlign w:val="center"/>
                          </w:tcPr>
                          <w:p w14:paraId="4870E6CB" w14:textId="221DBC60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Poverty Age &lt;18</w:t>
                            </w:r>
                          </w:p>
                        </w:tc>
                        <w:tc>
                          <w:tcPr>
                            <w:tcW w:w="780" w:type="dxa"/>
                            <w:vAlign w:val="center"/>
                          </w:tcPr>
                          <w:p w14:paraId="2E52C546" w14:textId="7C0914F7" w:rsidR="00284500" w:rsidRPr="00EB27CE" w:rsidRDefault="00284500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EB27CE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46.9%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3866EBDE" w14:textId="68E9BAFE" w:rsidR="00284500" w:rsidRPr="00D20CD1" w:rsidRDefault="000D5308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12.9%</w:t>
                            </w:r>
                          </w:p>
                        </w:tc>
                        <w:tc>
                          <w:tcPr>
                            <w:tcW w:w="917" w:type="dxa"/>
                            <w:vAlign w:val="center"/>
                          </w:tcPr>
                          <w:p w14:paraId="5F736A87" w14:textId="17E41AEC" w:rsidR="00284500" w:rsidRPr="00D20CD1" w:rsidRDefault="000D5308" w:rsidP="00FF61B5">
                            <w:pPr>
                              <w:keepLines/>
                              <w:widowControl w:val="0"/>
                              <w:spacing w:line="240" w:lineRule="exact"/>
                              <w:suppressOverlap/>
                              <w:jc w:val="center"/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D20CD1">
                              <w:rPr>
                                <w:rFonts w:eastAsia="Calibri" w:cstheme="minorHAnsi"/>
                                <w:spacing w:val="-8"/>
                                <w:sz w:val="23"/>
                                <w:szCs w:val="23"/>
                              </w:rPr>
                              <w:t>16%</w:t>
                            </w:r>
                          </w:p>
                        </w:tc>
                      </w:tr>
                    </w:tbl>
                    <w:p w14:paraId="1B1113ED" w14:textId="1F127379" w:rsidR="0028439B" w:rsidRPr="0081327D" w:rsidRDefault="00D26895" w:rsidP="00D26895">
                      <w:pPr>
                        <w:spacing w:after="0" w:line="180" w:lineRule="exac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81327D">
                        <w:rPr>
                          <w:i/>
                          <w:iCs/>
                          <w:sz w:val="20"/>
                          <w:szCs w:val="20"/>
                        </w:rPr>
                        <w:t xml:space="preserve">Source: </w:t>
                      </w:r>
                      <w:r w:rsidR="00E35E10" w:rsidRPr="0081327D">
                        <w:rPr>
                          <w:i/>
                          <w:iCs/>
                          <w:sz w:val="20"/>
                          <w:szCs w:val="20"/>
                        </w:rPr>
                        <w:t xml:space="preserve">2023 5-Year </w:t>
                      </w:r>
                      <w:r w:rsidR="00AF55EA" w:rsidRPr="0081327D">
                        <w:rPr>
                          <w:i/>
                          <w:iCs/>
                          <w:sz w:val="20"/>
                          <w:szCs w:val="20"/>
                        </w:rPr>
                        <w:t>US Census American Community Survey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D7152" w:rsidRPr="000B67FD">
        <w:rPr>
          <w:rFonts w:cstheme="minorHAnsi"/>
          <w:b/>
          <w:spacing w:val="-8"/>
          <w:sz w:val="24"/>
          <w:szCs w:val="24"/>
          <w:u w:val="single"/>
        </w:rPr>
        <w:t xml:space="preserve">2. COMMUNITY NEED </w:t>
      </w:r>
      <w:r w:rsidR="00453524" w:rsidRPr="000B67FD">
        <w:rPr>
          <w:rFonts w:cstheme="minorHAnsi"/>
          <w:b/>
          <w:spacing w:val="-8"/>
          <w:sz w:val="24"/>
          <w:szCs w:val="24"/>
          <w:u w:val="single"/>
        </w:rPr>
        <w:t>AND</w:t>
      </w:r>
      <w:r w:rsidR="00ED7152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COMMUNITY ENGAGEMENT</w:t>
      </w:r>
      <w:r w:rsidR="00E8145D" w:rsidRPr="000B67FD">
        <w:rPr>
          <w:rFonts w:cstheme="minorHAnsi"/>
          <w:b/>
          <w:spacing w:val="-8"/>
          <w:sz w:val="24"/>
          <w:szCs w:val="24"/>
        </w:rPr>
        <w:t xml:space="preserve">: </w:t>
      </w:r>
      <w:r w:rsidR="00ED7152" w:rsidRPr="000B67FD">
        <w:rPr>
          <w:rFonts w:cstheme="minorHAnsi"/>
          <w:b/>
          <w:spacing w:val="-8"/>
          <w:sz w:val="24"/>
          <w:szCs w:val="24"/>
          <w:u w:val="single"/>
        </w:rPr>
        <w:t>Community Need</w:t>
      </w:r>
      <w:r w:rsidR="00E8145D" w:rsidRPr="000B67FD">
        <w:rPr>
          <w:rFonts w:cstheme="minorHAnsi"/>
          <w:b/>
          <w:spacing w:val="-8"/>
          <w:sz w:val="24"/>
          <w:szCs w:val="24"/>
        </w:rPr>
        <w:t>:</w:t>
      </w:r>
      <w:r w:rsidR="0025672A" w:rsidRPr="000B67FD">
        <w:rPr>
          <w:rFonts w:cstheme="minorHAnsi"/>
          <w:b/>
          <w:spacing w:val="-8"/>
          <w:sz w:val="24"/>
          <w:szCs w:val="24"/>
        </w:rPr>
        <w:t xml:space="preserve"> </w:t>
      </w:r>
      <w:r w:rsidR="00F97CFD" w:rsidRPr="000B67FD">
        <w:rPr>
          <w:rFonts w:cstheme="minorHAnsi"/>
          <w:b/>
          <w:spacing w:val="-8"/>
          <w:sz w:val="24"/>
          <w:szCs w:val="24"/>
          <w:u w:val="single"/>
        </w:rPr>
        <w:t xml:space="preserve">2.a. </w:t>
      </w:r>
      <w:r w:rsidR="00ED7152" w:rsidRPr="000B67FD">
        <w:rPr>
          <w:rFonts w:cstheme="minorHAnsi"/>
          <w:b/>
          <w:spacing w:val="-8"/>
          <w:sz w:val="24"/>
          <w:szCs w:val="24"/>
          <w:u w:val="single"/>
        </w:rPr>
        <w:t>The Community’s Need for Funding</w:t>
      </w:r>
      <w:r w:rsidR="00AD6708" w:rsidRPr="000B67FD">
        <w:rPr>
          <w:rFonts w:cstheme="minorHAnsi"/>
          <w:b/>
          <w:spacing w:val="-8"/>
          <w:sz w:val="24"/>
          <w:szCs w:val="24"/>
        </w:rPr>
        <w:t>:</w:t>
      </w:r>
      <w:r w:rsidR="00626FCE" w:rsidRPr="000B67FD">
        <w:rPr>
          <w:rFonts w:cstheme="minorHAnsi"/>
          <w:b/>
          <w:spacing w:val="-8"/>
          <w:sz w:val="24"/>
          <w:szCs w:val="24"/>
        </w:rPr>
        <w:t xml:space="preserve"> </w:t>
      </w:r>
      <w:r w:rsidR="000A4BAE" w:rsidRPr="000B67FD">
        <w:rPr>
          <w:rFonts w:cstheme="minorHAnsi"/>
          <w:sz w:val="24"/>
        </w:rPr>
        <w:t>The</w:t>
      </w:r>
      <w:r w:rsidR="00626FCE" w:rsidRPr="000B67FD">
        <w:rPr>
          <w:rFonts w:cstheme="minorHAnsi"/>
          <w:sz w:val="24"/>
        </w:rPr>
        <w:t xml:space="preserve"> </w:t>
      </w:r>
      <w:r w:rsidR="00453524" w:rsidRPr="000B67FD">
        <w:rPr>
          <w:rFonts w:cstheme="minorHAnsi"/>
          <w:sz w:val="24"/>
        </w:rPr>
        <w:t>CTGR</w:t>
      </w:r>
      <w:r w:rsidR="00626FCE" w:rsidRPr="000B67FD">
        <w:rPr>
          <w:rFonts w:cstheme="minorHAnsi"/>
          <w:sz w:val="24"/>
        </w:rPr>
        <w:t xml:space="preserve"> community </w:t>
      </w:r>
      <w:r w:rsidR="00803D92" w:rsidRPr="000B67FD">
        <w:rPr>
          <w:rFonts w:cstheme="minorHAnsi"/>
          <w:sz w:val="24"/>
        </w:rPr>
        <w:t>is very small, with</w:t>
      </w:r>
      <w:r w:rsidR="00626FCE" w:rsidRPr="000B67FD">
        <w:rPr>
          <w:rFonts w:cstheme="minorHAnsi"/>
          <w:spacing w:val="-3"/>
          <w:sz w:val="24"/>
        </w:rPr>
        <w:t xml:space="preserve"> just </w:t>
      </w:r>
      <w:r w:rsidR="00626FCE" w:rsidRPr="00ED5E02">
        <w:rPr>
          <w:rFonts w:cstheme="minorHAnsi"/>
          <w:sz w:val="24"/>
        </w:rPr>
        <w:t>over</w:t>
      </w:r>
      <w:r w:rsidR="00626FCE" w:rsidRPr="00ED5E02">
        <w:rPr>
          <w:rFonts w:cstheme="minorHAnsi"/>
          <w:spacing w:val="23"/>
          <w:sz w:val="24"/>
        </w:rPr>
        <w:t xml:space="preserve"> </w:t>
      </w:r>
      <w:r w:rsidR="00626FCE" w:rsidRPr="00ED5E02">
        <w:rPr>
          <w:rFonts w:cstheme="minorHAnsi"/>
          <w:sz w:val="24"/>
        </w:rPr>
        <w:t xml:space="preserve">5,500 members. </w:t>
      </w:r>
      <w:r w:rsidR="00710CCA" w:rsidRPr="00ED5E02">
        <w:rPr>
          <w:rFonts w:cstheme="minorHAnsi"/>
          <w:sz w:val="24"/>
        </w:rPr>
        <w:t xml:space="preserve">The median household income of Tribal members living on the Grand Ronde reservation is </w:t>
      </w:r>
      <w:r w:rsidR="00CC0BDE" w:rsidRPr="00ED5E02">
        <w:rPr>
          <w:rFonts w:cstheme="minorHAnsi"/>
          <w:sz w:val="24"/>
        </w:rPr>
        <w:t>33</w:t>
      </w:r>
      <w:r w:rsidR="00710CCA" w:rsidRPr="00ED5E02">
        <w:rPr>
          <w:rFonts w:cstheme="minorHAnsi"/>
          <w:sz w:val="24"/>
        </w:rPr>
        <w:t>% of the s</w:t>
      </w:r>
      <w:r w:rsidR="00710CCA" w:rsidRPr="00C3297B">
        <w:rPr>
          <w:rFonts w:cstheme="minorHAnsi"/>
          <w:sz w:val="24"/>
        </w:rPr>
        <w:t>tatewide median income, and the poverty rate is</w:t>
      </w:r>
      <w:r w:rsidR="00A504A7" w:rsidRPr="00C3297B">
        <w:rPr>
          <w:rFonts w:cstheme="minorHAnsi"/>
          <w:sz w:val="24"/>
        </w:rPr>
        <w:t xml:space="preserve"> over 3 times</w:t>
      </w:r>
      <w:r w:rsidR="00710CCA" w:rsidRPr="00C3297B">
        <w:rPr>
          <w:rFonts w:cstheme="minorHAnsi"/>
          <w:sz w:val="24"/>
        </w:rPr>
        <w:t xml:space="preserve"> the statewide rate. </w:t>
      </w:r>
      <w:r w:rsidR="00082FAA">
        <w:rPr>
          <w:rFonts w:cstheme="minorHAnsi"/>
          <w:sz w:val="24"/>
        </w:rPr>
        <w:t xml:space="preserve">Unemployment </w:t>
      </w:r>
      <w:r w:rsidR="003F2BBA">
        <w:rPr>
          <w:rFonts w:cstheme="minorHAnsi"/>
          <w:sz w:val="24"/>
        </w:rPr>
        <w:t>in the community is also</w:t>
      </w:r>
      <w:r w:rsidR="00082FAA">
        <w:rPr>
          <w:rFonts w:cstheme="minorHAnsi"/>
          <w:sz w:val="24"/>
        </w:rPr>
        <w:t xml:space="preserve"> </w:t>
      </w:r>
      <w:r w:rsidR="003F2BBA">
        <w:rPr>
          <w:rFonts w:cstheme="minorHAnsi"/>
          <w:sz w:val="24"/>
        </w:rPr>
        <w:t xml:space="preserve">much higher than the statewide rate. </w:t>
      </w:r>
      <w:r w:rsidR="00710CCA" w:rsidRPr="00C3297B">
        <w:rPr>
          <w:rFonts w:cstheme="minorHAnsi"/>
          <w:sz w:val="24"/>
        </w:rPr>
        <w:t>Tribal funds are</w:t>
      </w:r>
      <w:r w:rsidR="003F2BBA">
        <w:rPr>
          <w:rFonts w:cstheme="minorHAnsi"/>
          <w:sz w:val="24"/>
        </w:rPr>
        <w:t xml:space="preserve"> limited, and</w:t>
      </w:r>
      <w:r w:rsidR="00710CCA" w:rsidRPr="00C3297B">
        <w:rPr>
          <w:rFonts w:cstheme="minorHAnsi"/>
          <w:sz w:val="24"/>
        </w:rPr>
        <w:t xml:space="preserve"> dedicated to</w:t>
      </w:r>
      <w:r w:rsidR="00C3297B">
        <w:rPr>
          <w:rFonts w:cstheme="minorHAnsi"/>
          <w:sz w:val="24"/>
        </w:rPr>
        <w:t xml:space="preserve"> </w:t>
      </w:r>
      <w:r w:rsidR="00710CCA" w:rsidRPr="00610FF9">
        <w:rPr>
          <w:rFonts w:cstheme="minorHAnsi"/>
          <w:sz w:val="24"/>
        </w:rPr>
        <w:t>education, healthcare, and</w:t>
      </w:r>
      <w:r w:rsidR="009D3C98">
        <w:rPr>
          <w:rFonts w:cstheme="minorHAnsi"/>
          <w:sz w:val="24"/>
        </w:rPr>
        <w:t xml:space="preserve"> community</w:t>
      </w:r>
      <w:r w:rsidR="00710CCA" w:rsidRPr="00610FF9">
        <w:rPr>
          <w:rFonts w:cstheme="minorHAnsi"/>
          <w:sz w:val="24"/>
        </w:rPr>
        <w:t xml:space="preserve"> support. EPA grant funding for </w:t>
      </w:r>
      <w:r w:rsidR="00C34FC4" w:rsidRPr="00610FF9">
        <w:rPr>
          <w:rFonts w:cstheme="minorHAnsi"/>
          <w:sz w:val="24"/>
        </w:rPr>
        <w:t xml:space="preserve">Site </w:t>
      </w:r>
      <w:r w:rsidR="00710CCA" w:rsidRPr="00610FF9">
        <w:rPr>
          <w:rFonts w:cstheme="minorHAnsi"/>
          <w:sz w:val="24"/>
        </w:rPr>
        <w:t xml:space="preserve">cleanup and reuse will allow the Tribe to continue dedicating resources to </w:t>
      </w:r>
      <w:r w:rsidR="005F0066" w:rsidRPr="00610FF9">
        <w:rPr>
          <w:rFonts w:cstheme="minorHAnsi"/>
          <w:sz w:val="24"/>
        </w:rPr>
        <w:t xml:space="preserve">these </w:t>
      </w:r>
      <w:r w:rsidR="00710CCA" w:rsidRPr="00610FF9">
        <w:rPr>
          <w:rFonts w:cstheme="minorHAnsi"/>
          <w:sz w:val="24"/>
        </w:rPr>
        <w:t xml:space="preserve">critical </w:t>
      </w:r>
      <w:r w:rsidR="00C34FC4" w:rsidRPr="00610FF9">
        <w:rPr>
          <w:rFonts w:cstheme="minorHAnsi"/>
          <w:sz w:val="24"/>
        </w:rPr>
        <w:t>community</w:t>
      </w:r>
      <w:r w:rsidR="00710CCA" w:rsidRPr="00610FF9">
        <w:rPr>
          <w:rFonts w:cstheme="minorHAnsi"/>
          <w:sz w:val="24"/>
        </w:rPr>
        <w:t xml:space="preserve"> needs. </w:t>
      </w:r>
      <w:r w:rsidR="00F77F0C" w:rsidRPr="00610FF9">
        <w:rPr>
          <w:rFonts w:cstheme="minorHAnsi"/>
          <w:sz w:val="24"/>
        </w:rPr>
        <w:t xml:space="preserve">The grant will </w:t>
      </w:r>
      <w:r w:rsidR="005E13A4">
        <w:rPr>
          <w:rFonts w:cstheme="minorHAnsi"/>
          <w:sz w:val="24"/>
        </w:rPr>
        <w:t>help the Tribe and local community by preparing</w:t>
      </w:r>
      <w:r w:rsidR="00E707C4" w:rsidRPr="00610FF9">
        <w:rPr>
          <w:rFonts w:cstheme="minorHAnsi"/>
          <w:sz w:val="24"/>
        </w:rPr>
        <w:t xml:space="preserve"> the Site </w:t>
      </w:r>
      <w:r w:rsidR="00D373D8" w:rsidRPr="00610FF9">
        <w:rPr>
          <w:rFonts w:cstheme="minorHAnsi"/>
          <w:sz w:val="24"/>
        </w:rPr>
        <w:t>for</w:t>
      </w:r>
      <w:r w:rsidR="00E707C4" w:rsidRPr="00610FF9">
        <w:rPr>
          <w:rFonts w:cstheme="minorHAnsi"/>
          <w:sz w:val="24"/>
        </w:rPr>
        <w:t xml:space="preserve"> new job opportunities and </w:t>
      </w:r>
      <w:r w:rsidR="00610FF9" w:rsidRPr="00610FF9">
        <w:rPr>
          <w:rFonts w:cstheme="minorHAnsi"/>
          <w:sz w:val="24"/>
        </w:rPr>
        <w:t xml:space="preserve">revenue </w:t>
      </w:r>
      <w:r w:rsidR="005F0066" w:rsidRPr="00610FF9">
        <w:rPr>
          <w:rFonts w:cstheme="minorHAnsi"/>
          <w:sz w:val="24"/>
        </w:rPr>
        <w:t xml:space="preserve">generating </w:t>
      </w:r>
      <w:r w:rsidR="00610FF9" w:rsidRPr="00610FF9">
        <w:rPr>
          <w:rFonts w:cstheme="minorHAnsi"/>
          <w:sz w:val="24"/>
        </w:rPr>
        <w:t>uses</w:t>
      </w:r>
      <w:r w:rsidR="005319DE" w:rsidRPr="00610FF9">
        <w:rPr>
          <w:rFonts w:cstheme="minorHAnsi"/>
          <w:sz w:val="24"/>
        </w:rPr>
        <w:t xml:space="preserve"> through</w:t>
      </w:r>
      <w:r w:rsidR="005319DE" w:rsidRPr="005319DE">
        <w:rPr>
          <w:rFonts w:cstheme="minorHAnsi"/>
          <w:sz w:val="24"/>
        </w:rPr>
        <w:t xml:space="preserve"> leases, business </w:t>
      </w:r>
      <w:r w:rsidR="00610FF9">
        <w:rPr>
          <w:rFonts w:cstheme="minorHAnsi"/>
          <w:sz w:val="24"/>
        </w:rPr>
        <w:t>income</w:t>
      </w:r>
      <w:r w:rsidR="005319DE" w:rsidRPr="005319DE">
        <w:rPr>
          <w:rFonts w:cstheme="minorHAnsi"/>
          <w:sz w:val="24"/>
        </w:rPr>
        <w:t>, tourism spending, and destination events</w:t>
      </w:r>
      <w:r w:rsidR="00E707C4">
        <w:rPr>
          <w:rFonts w:cstheme="minorHAnsi"/>
          <w:sz w:val="24"/>
        </w:rPr>
        <w:t>.</w:t>
      </w:r>
      <w:r w:rsidR="00B96A7A">
        <w:rPr>
          <w:rFonts w:cstheme="minorHAnsi"/>
          <w:sz w:val="24"/>
        </w:rPr>
        <w:t xml:space="preserve"> </w:t>
      </w:r>
      <w:r w:rsidR="009E560D">
        <w:rPr>
          <w:rFonts w:cstheme="minorHAnsi"/>
          <w:sz w:val="24"/>
        </w:rPr>
        <w:t xml:space="preserve">Due to limited resources, the Tribe is unable to fund Site </w:t>
      </w:r>
      <w:r w:rsidR="005B2765">
        <w:rPr>
          <w:rFonts w:cstheme="minorHAnsi"/>
          <w:sz w:val="24"/>
        </w:rPr>
        <w:t xml:space="preserve">cleanup </w:t>
      </w:r>
      <w:r w:rsidR="0053379D">
        <w:rPr>
          <w:rFonts w:cstheme="minorHAnsi"/>
          <w:sz w:val="24"/>
        </w:rPr>
        <w:t xml:space="preserve">and reuse </w:t>
      </w:r>
      <w:r w:rsidR="005B2765">
        <w:rPr>
          <w:rFonts w:cstheme="minorHAnsi"/>
          <w:sz w:val="24"/>
        </w:rPr>
        <w:t xml:space="preserve">without grant assistance. </w:t>
      </w:r>
      <w:r w:rsidR="0053379D">
        <w:rPr>
          <w:rFonts w:cstheme="minorHAnsi"/>
          <w:sz w:val="24"/>
        </w:rPr>
        <w:t xml:space="preserve">Cleanup funding sources are limited, making the EPA Brownfield Cleanup grant a critical </w:t>
      </w:r>
      <w:r w:rsidR="0053379D" w:rsidRPr="000944D7">
        <w:rPr>
          <w:rFonts w:cstheme="minorHAnsi"/>
          <w:sz w:val="24"/>
        </w:rPr>
        <w:t xml:space="preserve">component of the project </w:t>
      </w:r>
      <w:r w:rsidR="006C5035" w:rsidRPr="000944D7">
        <w:rPr>
          <w:rFonts w:cstheme="minorHAnsi"/>
          <w:sz w:val="24"/>
        </w:rPr>
        <w:t xml:space="preserve">reuse </w:t>
      </w:r>
      <w:r w:rsidR="0053379D" w:rsidRPr="000944D7">
        <w:rPr>
          <w:rFonts w:cstheme="minorHAnsi"/>
          <w:sz w:val="24"/>
        </w:rPr>
        <w:t>plan.</w:t>
      </w:r>
      <w:r w:rsidR="003C120F" w:rsidRPr="000944D7">
        <w:rPr>
          <w:rFonts w:cstheme="minorHAnsi"/>
          <w:sz w:val="24"/>
        </w:rPr>
        <w:t xml:space="preserve"> </w:t>
      </w:r>
    </w:p>
    <w:p w14:paraId="435381D6" w14:textId="45B91D76" w:rsidR="00EC5590" w:rsidRDefault="00ED7152" w:rsidP="00EC5590">
      <w:pPr>
        <w:autoSpaceDE w:val="0"/>
        <w:autoSpaceDN w:val="0"/>
        <w:adjustRightInd w:val="0"/>
        <w:spacing w:before="60" w:after="0" w:line="240" w:lineRule="exact"/>
        <w:rPr>
          <w:rFonts w:cstheme="minorHAnsi"/>
          <w:sz w:val="24"/>
          <w:szCs w:val="24"/>
          <w:highlight w:val="yellow"/>
          <w:u w:color="000000"/>
        </w:rPr>
      </w:pPr>
      <w:r w:rsidRPr="000944D7">
        <w:rPr>
          <w:rFonts w:cstheme="minorHAnsi"/>
          <w:b/>
          <w:spacing w:val="-8"/>
          <w:sz w:val="24"/>
          <w:szCs w:val="24"/>
          <w:u w:val="single"/>
        </w:rPr>
        <w:t>2.</w:t>
      </w:r>
      <w:r w:rsidR="00C96E23" w:rsidRPr="000944D7">
        <w:rPr>
          <w:rFonts w:cstheme="minorHAnsi"/>
          <w:b/>
          <w:spacing w:val="-8"/>
          <w:sz w:val="24"/>
          <w:szCs w:val="24"/>
          <w:u w:val="single"/>
        </w:rPr>
        <w:t>b</w:t>
      </w:r>
      <w:r w:rsidR="00FB70B7" w:rsidRPr="000944D7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450A17" w:rsidRPr="000944D7">
        <w:rPr>
          <w:rFonts w:cstheme="minorHAnsi"/>
          <w:b/>
          <w:spacing w:val="-8"/>
          <w:sz w:val="24"/>
          <w:szCs w:val="24"/>
          <w:u w:val="single"/>
        </w:rPr>
        <w:t xml:space="preserve"> </w:t>
      </w:r>
      <w:r w:rsidRPr="000944D7">
        <w:rPr>
          <w:rFonts w:cstheme="minorHAnsi"/>
          <w:b/>
          <w:spacing w:val="-8"/>
          <w:sz w:val="24"/>
          <w:szCs w:val="24"/>
          <w:u w:val="single"/>
        </w:rPr>
        <w:t>Health or Welfare of Sensitive Populations</w:t>
      </w:r>
      <w:r w:rsidR="00920447" w:rsidRPr="000944D7">
        <w:rPr>
          <w:rFonts w:cstheme="minorHAnsi"/>
          <w:b/>
          <w:spacing w:val="-8"/>
          <w:sz w:val="24"/>
          <w:szCs w:val="24"/>
        </w:rPr>
        <w:t>:</w:t>
      </w:r>
      <w:r w:rsidR="000364CE" w:rsidRPr="000944D7">
        <w:rPr>
          <w:rFonts w:cstheme="minorHAnsi"/>
          <w:b/>
          <w:spacing w:val="-8"/>
          <w:sz w:val="24"/>
          <w:szCs w:val="24"/>
        </w:rPr>
        <w:t xml:space="preserve"> </w:t>
      </w:r>
      <w:r w:rsidR="00D21A89">
        <w:rPr>
          <w:rFonts w:cstheme="minorHAnsi"/>
          <w:sz w:val="24"/>
          <w:szCs w:val="24"/>
        </w:rPr>
        <w:t>Homeless people</w:t>
      </w:r>
      <w:r w:rsidR="00EC5590" w:rsidRPr="000944D7">
        <w:rPr>
          <w:rFonts w:cstheme="minorHAnsi"/>
          <w:sz w:val="24"/>
          <w:szCs w:val="24"/>
        </w:rPr>
        <w:t xml:space="preserve"> are a </w:t>
      </w:r>
      <w:proofErr w:type="gramStart"/>
      <w:r w:rsidR="00EC5590" w:rsidRPr="000944D7">
        <w:rPr>
          <w:rFonts w:cstheme="minorHAnsi"/>
          <w:sz w:val="24"/>
          <w:szCs w:val="24"/>
        </w:rPr>
        <w:t>significant</w:t>
      </w:r>
      <w:proofErr w:type="gramEnd"/>
      <w:r w:rsidR="00EC5590" w:rsidRPr="000944D7">
        <w:rPr>
          <w:rFonts w:cstheme="minorHAnsi"/>
          <w:sz w:val="24"/>
          <w:szCs w:val="24"/>
        </w:rPr>
        <w:t xml:space="preserve"> sensitive population in the Target Area. In 2017, Clackamas County declared a state of emergency </w:t>
      </w:r>
      <w:r w:rsidR="00EA02B1" w:rsidRPr="000944D7">
        <w:rPr>
          <w:rFonts w:cstheme="minorHAnsi"/>
          <w:sz w:val="24"/>
          <w:szCs w:val="24"/>
        </w:rPr>
        <w:t>due to the lack of shelter for</w:t>
      </w:r>
      <w:r w:rsidR="00EC5590" w:rsidRPr="000944D7">
        <w:rPr>
          <w:rFonts w:cstheme="minorHAnsi"/>
          <w:sz w:val="24"/>
          <w:szCs w:val="24"/>
        </w:rPr>
        <w:t xml:space="preserve"> the growing homeless population after a woman died in a fire</w:t>
      </w:r>
      <w:r w:rsidR="00EA02B1" w:rsidRPr="000944D7">
        <w:rPr>
          <w:rFonts w:cstheme="minorHAnsi"/>
          <w:sz w:val="24"/>
          <w:szCs w:val="24"/>
        </w:rPr>
        <w:t xml:space="preserve"> at a </w:t>
      </w:r>
      <w:r w:rsidR="009B1706" w:rsidRPr="000944D7">
        <w:rPr>
          <w:rFonts w:cstheme="minorHAnsi"/>
          <w:sz w:val="24"/>
          <w:szCs w:val="24"/>
        </w:rPr>
        <w:t>tent</w:t>
      </w:r>
      <w:r w:rsidR="00EA02B1" w:rsidRPr="000944D7">
        <w:rPr>
          <w:rFonts w:cstheme="minorHAnsi"/>
          <w:sz w:val="24"/>
          <w:szCs w:val="24"/>
        </w:rPr>
        <w:t xml:space="preserve"> camp</w:t>
      </w:r>
      <w:r w:rsidR="00EC5590" w:rsidRPr="000944D7">
        <w:rPr>
          <w:rFonts w:cstheme="minorHAnsi"/>
          <w:sz w:val="24"/>
          <w:szCs w:val="24"/>
        </w:rPr>
        <w:t xml:space="preserve"> less than 2 miles from the </w:t>
      </w:r>
      <w:r w:rsidR="009B1706" w:rsidRPr="000944D7">
        <w:rPr>
          <w:rFonts w:cstheme="minorHAnsi"/>
          <w:sz w:val="24"/>
          <w:szCs w:val="24"/>
        </w:rPr>
        <w:t>Site</w:t>
      </w:r>
      <w:r w:rsidR="00EC5590" w:rsidRPr="000944D7">
        <w:rPr>
          <w:rFonts w:cstheme="minorHAnsi"/>
          <w:sz w:val="24"/>
          <w:szCs w:val="24"/>
        </w:rPr>
        <w:t xml:space="preserve">. </w:t>
      </w:r>
      <w:r w:rsidR="00F22A0C" w:rsidRPr="000B67FD">
        <w:rPr>
          <w:rFonts w:cstheme="minorHAnsi"/>
          <w:sz w:val="24"/>
          <w:szCs w:val="24"/>
        </w:rPr>
        <w:t xml:space="preserve">The </w:t>
      </w:r>
      <w:r w:rsidR="003D3438">
        <w:rPr>
          <w:rFonts w:cstheme="minorHAnsi"/>
          <w:sz w:val="24"/>
          <w:szCs w:val="24"/>
        </w:rPr>
        <w:t>population</w:t>
      </w:r>
      <w:r w:rsidR="00F22A0C" w:rsidRPr="00646677">
        <w:rPr>
          <w:rFonts w:cstheme="minorHAnsi"/>
          <w:sz w:val="24"/>
          <w:szCs w:val="24"/>
        </w:rPr>
        <w:t xml:space="preserve"> of unsheltered </w:t>
      </w:r>
      <w:r w:rsidR="003D3438">
        <w:rPr>
          <w:rFonts w:cstheme="minorHAnsi"/>
          <w:sz w:val="24"/>
          <w:szCs w:val="24"/>
        </w:rPr>
        <w:t>people</w:t>
      </w:r>
      <w:r w:rsidR="00F22A0C" w:rsidRPr="00646677">
        <w:rPr>
          <w:rFonts w:cstheme="minorHAnsi"/>
          <w:sz w:val="24"/>
          <w:szCs w:val="24"/>
        </w:rPr>
        <w:t xml:space="preserve"> rose from 43% in 2023 to 63% in 2025, </w:t>
      </w:r>
      <w:r w:rsidR="00ED2FA8" w:rsidRPr="00646677">
        <w:rPr>
          <w:rFonts w:cstheme="minorHAnsi"/>
          <w:sz w:val="24"/>
          <w:szCs w:val="24"/>
        </w:rPr>
        <w:t xml:space="preserve">and the number of </w:t>
      </w:r>
      <w:r w:rsidR="00F22A0C" w:rsidRPr="00646677">
        <w:rPr>
          <w:rFonts w:cstheme="minorHAnsi"/>
          <w:sz w:val="24"/>
          <w:szCs w:val="24"/>
        </w:rPr>
        <w:t>homeless children</w:t>
      </w:r>
      <w:r w:rsidR="008F08FE" w:rsidRPr="00646677">
        <w:rPr>
          <w:rFonts w:cstheme="minorHAnsi"/>
          <w:sz w:val="24"/>
          <w:szCs w:val="24"/>
        </w:rPr>
        <w:t xml:space="preserve"> also increased</w:t>
      </w:r>
      <w:r w:rsidR="003A3028" w:rsidRPr="00646677">
        <w:rPr>
          <w:rFonts w:cstheme="minorHAnsi"/>
          <w:sz w:val="24"/>
          <w:szCs w:val="24"/>
        </w:rPr>
        <w:t>.</w:t>
      </w:r>
      <w:r w:rsidR="00A24AB7" w:rsidRPr="00646677">
        <w:rPr>
          <w:rStyle w:val="FootnoteReference"/>
          <w:rFonts w:cstheme="minorHAnsi"/>
          <w:sz w:val="24"/>
          <w:szCs w:val="24"/>
        </w:rPr>
        <w:footnoteReference w:id="6"/>
      </w:r>
      <w:r w:rsidR="00861AA8" w:rsidRPr="00646677">
        <w:rPr>
          <w:rFonts w:cstheme="minorHAnsi"/>
          <w:sz w:val="24"/>
          <w:szCs w:val="24"/>
        </w:rPr>
        <w:t xml:space="preserve"> </w:t>
      </w:r>
      <w:r w:rsidR="00B10F94">
        <w:rPr>
          <w:rFonts w:cstheme="minorHAnsi"/>
          <w:sz w:val="24"/>
          <w:szCs w:val="24"/>
        </w:rPr>
        <w:t xml:space="preserve">In December 2025, </w:t>
      </w:r>
      <w:r w:rsidR="00E3129E">
        <w:rPr>
          <w:rFonts w:cstheme="minorHAnsi"/>
          <w:sz w:val="24"/>
          <w:szCs w:val="24"/>
        </w:rPr>
        <w:t xml:space="preserve">emergency crews rescued homeless campers stranded in high water during flooding in Clackamas County. </w:t>
      </w:r>
      <w:r w:rsidR="003A3028" w:rsidRPr="00646677">
        <w:rPr>
          <w:rFonts w:cstheme="minorHAnsi"/>
          <w:sz w:val="24"/>
          <w:szCs w:val="24"/>
        </w:rPr>
        <w:t xml:space="preserve">Unhoused people </w:t>
      </w:r>
      <w:r w:rsidR="00657A63">
        <w:rPr>
          <w:rFonts w:cstheme="minorHAnsi"/>
          <w:sz w:val="24"/>
          <w:szCs w:val="24"/>
        </w:rPr>
        <w:t xml:space="preserve">may </w:t>
      </w:r>
      <w:r w:rsidR="00BF05B1" w:rsidRPr="00646677">
        <w:rPr>
          <w:rFonts w:cstheme="minorHAnsi"/>
          <w:sz w:val="24"/>
          <w:szCs w:val="24"/>
        </w:rPr>
        <w:t>see</w:t>
      </w:r>
      <w:r w:rsidR="003A3028" w:rsidRPr="00646677">
        <w:rPr>
          <w:rFonts w:cstheme="minorHAnsi"/>
          <w:sz w:val="24"/>
          <w:szCs w:val="24"/>
        </w:rPr>
        <w:t>k</w:t>
      </w:r>
      <w:r w:rsidR="00EC5590" w:rsidRPr="00646677">
        <w:rPr>
          <w:rFonts w:cstheme="minorHAnsi"/>
          <w:sz w:val="24"/>
          <w:szCs w:val="24"/>
        </w:rPr>
        <w:t xml:space="preserve"> shelter in </w:t>
      </w:r>
      <w:r w:rsidR="003A3028" w:rsidRPr="00646677">
        <w:rPr>
          <w:rFonts w:cstheme="minorHAnsi"/>
          <w:sz w:val="24"/>
          <w:szCs w:val="24"/>
        </w:rPr>
        <w:t>vacant</w:t>
      </w:r>
      <w:r w:rsidR="00954110" w:rsidRPr="00646677">
        <w:rPr>
          <w:rFonts w:cstheme="minorHAnsi"/>
          <w:sz w:val="24"/>
          <w:szCs w:val="24"/>
        </w:rPr>
        <w:t xml:space="preserve"> a</w:t>
      </w:r>
      <w:r w:rsidR="00EC5590" w:rsidRPr="00646677">
        <w:rPr>
          <w:rFonts w:cstheme="minorHAnsi"/>
          <w:sz w:val="24"/>
          <w:szCs w:val="24"/>
        </w:rPr>
        <w:t xml:space="preserve">reas like the </w:t>
      </w:r>
      <w:r w:rsidR="003A3028" w:rsidRPr="00646677">
        <w:rPr>
          <w:rFonts w:cstheme="minorHAnsi"/>
          <w:sz w:val="24"/>
          <w:szCs w:val="24"/>
        </w:rPr>
        <w:t>Site</w:t>
      </w:r>
      <w:r w:rsidR="00EA7E4C" w:rsidRPr="00646677">
        <w:rPr>
          <w:rFonts w:cstheme="minorHAnsi"/>
          <w:sz w:val="24"/>
          <w:szCs w:val="24"/>
        </w:rPr>
        <w:t>,</w:t>
      </w:r>
      <w:r w:rsidR="00EC5590" w:rsidRPr="00646677">
        <w:rPr>
          <w:rFonts w:cstheme="minorHAnsi"/>
          <w:sz w:val="24"/>
          <w:szCs w:val="24"/>
        </w:rPr>
        <w:t xml:space="preserve"> </w:t>
      </w:r>
      <w:r w:rsidR="00861AA8" w:rsidRPr="00646677">
        <w:rPr>
          <w:rFonts w:cstheme="minorHAnsi"/>
          <w:sz w:val="24"/>
          <w:szCs w:val="24"/>
        </w:rPr>
        <w:t>where</w:t>
      </w:r>
      <w:r w:rsidR="00EC5590" w:rsidRPr="00646677">
        <w:rPr>
          <w:rFonts w:cstheme="minorHAnsi"/>
          <w:sz w:val="24"/>
          <w:szCs w:val="24"/>
        </w:rPr>
        <w:t xml:space="preserve"> they </w:t>
      </w:r>
      <w:r w:rsidR="00EA02B1" w:rsidRPr="00646677">
        <w:rPr>
          <w:rFonts w:cstheme="minorHAnsi"/>
          <w:sz w:val="24"/>
          <w:szCs w:val="24"/>
        </w:rPr>
        <w:t>may be</w:t>
      </w:r>
      <w:r w:rsidR="00EC5590" w:rsidRPr="00646677">
        <w:rPr>
          <w:rFonts w:cstheme="minorHAnsi"/>
          <w:sz w:val="24"/>
          <w:szCs w:val="24"/>
        </w:rPr>
        <w:t xml:space="preserve"> exposed to </w:t>
      </w:r>
      <w:r w:rsidR="001A234F" w:rsidRPr="00646677">
        <w:rPr>
          <w:rFonts w:cstheme="minorHAnsi"/>
          <w:sz w:val="24"/>
          <w:szCs w:val="24"/>
        </w:rPr>
        <w:t>contaminants and unsafe conditions</w:t>
      </w:r>
      <w:r w:rsidR="00DF187D">
        <w:rPr>
          <w:rFonts w:cstheme="minorHAnsi"/>
          <w:sz w:val="24"/>
          <w:szCs w:val="24"/>
        </w:rPr>
        <w:t xml:space="preserve"> </w:t>
      </w:r>
      <w:r w:rsidR="00D03440">
        <w:rPr>
          <w:rFonts w:cstheme="minorHAnsi"/>
          <w:sz w:val="24"/>
          <w:szCs w:val="24"/>
        </w:rPr>
        <w:t>in</w:t>
      </w:r>
      <w:r w:rsidR="00DF187D">
        <w:rPr>
          <w:rFonts w:cstheme="minorHAnsi"/>
          <w:sz w:val="24"/>
          <w:szCs w:val="24"/>
        </w:rPr>
        <w:t xml:space="preserve"> old buildings and along the river</w:t>
      </w:r>
      <w:r w:rsidR="00EC5590" w:rsidRPr="00646677">
        <w:rPr>
          <w:rFonts w:cstheme="minorHAnsi"/>
          <w:sz w:val="24"/>
          <w:szCs w:val="24"/>
        </w:rPr>
        <w:t xml:space="preserve">. </w:t>
      </w:r>
      <w:r w:rsidR="00EC5590" w:rsidRPr="00646677">
        <w:rPr>
          <w:rFonts w:cstheme="minorHAnsi"/>
          <w:sz w:val="24"/>
          <w:szCs w:val="24"/>
          <w:u w:color="000000"/>
        </w:rPr>
        <w:t xml:space="preserve">Although </w:t>
      </w:r>
      <w:r w:rsidR="00657A63">
        <w:rPr>
          <w:rFonts w:cstheme="minorHAnsi"/>
          <w:sz w:val="24"/>
          <w:szCs w:val="24"/>
          <w:u w:color="000000"/>
        </w:rPr>
        <w:t>the Site is secured</w:t>
      </w:r>
      <w:r w:rsidR="00EC5590" w:rsidRPr="00646677">
        <w:rPr>
          <w:rFonts w:cstheme="minorHAnsi"/>
          <w:sz w:val="24"/>
          <w:szCs w:val="24"/>
          <w:u w:color="000000"/>
        </w:rPr>
        <w:t xml:space="preserve">, </w:t>
      </w:r>
      <w:r w:rsidR="00027236">
        <w:rPr>
          <w:rFonts w:cstheme="minorHAnsi"/>
          <w:sz w:val="24"/>
          <w:szCs w:val="24"/>
          <w:u w:color="000000"/>
        </w:rPr>
        <w:t>people</w:t>
      </w:r>
      <w:r w:rsidR="00EC5590" w:rsidRPr="00646677">
        <w:rPr>
          <w:rFonts w:cstheme="minorHAnsi"/>
          <w:sz w:val="24"/>
          <w:szCs w:val="24"/>
          <w:u w:color="000000"/>
        </w:rPr>
        <w:t xml:space="preserve"> have </w:t>
      </w:r>
      <w:r w:rsidR="001A234F" w:rsidRPr="00646677">
        <w:rPr>
          <w:rFonts w:cstheme="minorHAnsi"/>
          <w:sz w:val="24"/>
          <w:szCs w:val="24"/>
          <w:u w:color="000000"/>
        </w:rPr>
        <w:t>gained</w:t>
      </w:r>
      <w:r w:rsidR="00EC5590" w:rsidRPr="00646677">
        <w:rPr>
          <w:rFonts w:cstheme="minorHAnsi"/>
          <w:sz w:val="24"/>
          <w:szCs w:val="24"/>
          <w:u w:color="000000"/>
        </w:rPr>
        <w:t xml:space="preserve"> access</w:t>
      </w:r>
      <w:r w:rsidR="00D21A89">
        <w:rPr>
          <w:rFonts w:cstheme="minorHAnsi"/>
          <w:sz w:val="24"/>
          <w:szCs w:val="24"/>
          <w:u w:color="000000"/>
        </w:rPr>
        <w:t>. I</w:t>
      </w:r>
      <w:r w:rsidR="001813BE" w:rsidRPr="00646677">
        <w:rPr>
          <w:rFonts w:cstheme="minorHAnsi"/>
          <w:sz w:val="24"/>
          <w:szCs w:val="24"/>
          <w:u w:color="000000"/>
        </w:rPr>
        <w:t xml:space="preserve">n </w:t>
      </w:r>
      <w:r w:rsidR="001813BE" w:rsidRPr="00646677">
        <w:rPr>
          <w:rFonts w:cstheme="minorHAnsi"/>
          <w:sz w:val="24"/>
          <w:szCs w:val="24"/>
        </w:rPr>
        <w:t xml:space="preserve">January 2025, trespassers </w:t>
      </w:r>
      <w:r w:rsidR="00027236">
        <w:rPr>
          <w:rFonts w:cstheme="minorHAnsi"/>
          <w:sz w:val="24"/>
          <w:szCs w:val="24"/>
        </w:rPr>
        <w:t>sheltering</w:t>
      </w:r>
      <w:r w:rsidR="001813BE" w:rsidRPr="00646677">
        <w:rPr>
          <w:rFonts w:cstheme="minorHAnsi"/>
          <w:sz w:val="24"/>
          <w:szCs w:val="24"/>
        </w:rPr>
        <w:t xml:space="preserve"> in one of the Site’s vacant buildings</w:t>
      </w:r>
      <w:r w:rsidR="00027236">
        <w:rPr>
          <w:rFonts w:cstheme="minorHAnsi"/>
          <w:sz w:val="24"/>
          <w:szCs w:val="24"/>
        </w:rPr>
        <w:t xml:space="preserve"> started a massive fire</w:t>
      </w:r>
      <w:r w:rsidR="00EC5590" w:rsidRPr="00646677">
        <w:rPr>
          <w:rFonts w:cstheme="minorHAnsi"/>
          <w:sz w:val="24"/>
          <w:szCs w:val="24"/>
          <w:u w:color="000000"/>
        </w:rPr>
        <w:t>.</w:t>
      </w:r>
      <w:r w:rsidR="000944D7" w:rsidRPr="00646677">
        <w:rPr>
          <w:rFonts w:cstheme="minorHAnsi"/>
          <w:sz w:val="24"/>
          <w:szCs w:val="24"/>
          <w:u w:color="000000"/>
        </w:rPr>
        <w:t xml:space="preserve"> </w:t>
      </w:r>
    </w:p>
    <w:p w14:paraId="41501127" w14:textId="6821D814" w:rsidR="00EF74DE" w:rsidRPr="00847A8B" w:rsidRDefault="00A52BAE" w:rsidP="00EC5590">
      <w:pPr>
        <w:autoSpaceDE w:val="0"/>
        <w:autoSpaceDN w:val="0"/>
        <w:adjustRightInd w:val="0"/>
        <w:spacing w:before="60" w:after="0" w:line="240" w:lineRule="exact"/>
        <w:rPr>
          <w:rFonts w:cstheme="minorHAnsi"/>
          <w:sz w:val="24"/>
          <w:szCs w:val="24"/>
          <w:u w:color="000000"/>
        </w:rPr>
      </w:pPr>
      <w:r>
        <w:rPr>
          <w:rFonts w:cstheme="minorHAnsi"/>
          <w:sz w:val="24"/>
          <w:szCs w:val="24"/>
          <w:u w:color="000000"/>
        </w:rPr>
        <w:t>The</w:t>
      </w:r>
      <w:r w:rsidR="003F2486">
        <w:rPr>
          <w:rFonts w:cstheme="minorHAnsi"/>
          <w:sz w:val="24"/>
          <w:szCs w:val="24"/>
          <w:u w:color="000000"/>
        </w:rPr>
        <w:t xml:space="preserve"> health </w:t>
      </w:r>
      <w:r w:rsidR="003F2486" w:rsidRPr="00847A8B">
        <w:rPr>
          <w:rFonts w:cstheme="minorHAnsi"/>
          <w:sz w:val="24"/>
          <w:szCs w:val="24"/>
          <w:u w:color="000000"/>
        </w:rPr>
        <w:t>and welfare of the</w:t>
      </w:r>
      <w:r w:rsidRPr="00847A8B">
        <w:rPr>
          <w:rFonts w:cstheme="minorHAnsi"/>
          <w:sz w:val="24"/>
          <w:szCs w:val="24"/>
          <w:u w:color="000000"/>
        </w:rPr>
        <w:t xml:space="preserve"> Target Area’s elderly and young </w:t>
      </w:r>
      <w:r w:rsidR="0092305E" w:rsidRPr="00847A8B">
        <w:rPr>
          <w:rFonts w:cstheme="minorHAnsi"/>
          <w:sz w:val="24"/>
          <w:szCs w:val="24"/>
          <w:u w:color="000000"/>
        </w:rPr>
        <w:t>residents</w:t>
      </w:r>
      <w:r w:rsidRPr="00847A8B">
        <w:rPr>
          <w:rFonts w:cstheme="minorHAnsi"/>
          <w:sz w:val="24"/>
          <w:szCs w:val="24"/>
          <w:u w:color="000000"/>
        </w:rPr>
        <w:t xml:space="preserve"> are also at risk. </w:t>
      </w:r>
      <w:r w:rsidR="00EF74DE" w:rsidRPr="00847A8B">
        <w:rPr>
          <w:rFonts w:cstheme="minorHAnsi"/>
          <w:sz w:val="24"/>
          <w:szCs w:val="24"/>
          <w:u w:color="000000"/>
        </w:rPr>
        <w:t>2</w:t>
      </w:r>
      <w:r w:rsidR="00C96D56" w:rsidRPr="00847A8B">
        <w:rPr>
          <w:rFonts w:cstheme="minorHAnsi"/>
          <w:sz w:val="24"/>
          <w:szCs w:val="24"/>
          <w:u w:color="000000"/>
        </w:rPr>
        <w:t>2</w:t>
      </w:r>
      <w:r w:rsidR="00EF74DE" w:rsidRPr="00847A8B">
        <w:rPr>
          <w:rFonts w:cstheme="minorHAnsi"/>
          <w:sz w:val="24"/>
          <w:szCs w:val="24"/>
          <w:u w:color="000000"/>
        </w:rPr>
        <w:t xml:space="preserve">% of </w:t>
      </w:r>
      <w:r w:rsidR="00C96D56" w:rsidRPr="00847A8B">
        <w:rPr>
          <w:rFonts w:cstheme="minorHAnsi"/>
          <w:sz w:val="24"/>
          <w:szCs w:val="24"/>
          <w:u w:color="000000"/>
        </w:rPr>
        <w:t xml:space="preserve">Oregon City </w:t>
      </w:r>
      <w:r w:rsidR="00EF74DE" w:rsidRPr="00847A8B">
        <w:rPr>
          <w:rFonts w:cstheme="minorHAnsi"/>
          <w:sz w:val="24"/>
          <w:szCs w:val="24"/>
          <w:u w:color="000000"/>
        </w:rPr>
        <w:t>residents are under 18</w:t>
      </w:r>
      <w:r w:rsidR="00C96D56" w:rsidRPr="00847A8B">
        <w:rPr>
          <w:rFonts w:cstheme="minorHAnsi"/>
          <w:sz w:val="24"/>
          <w:szCs w:val="24"/>
          <w:u w:color="000000"/>
        </w:rPr>
        <w:t xml:space="preserve"> and 14% are over 65. These groups</w:t>
      </w:r>
      <w:r w:rsidR="003B791D" w:rsidRPr="00847A8B">
        <w:rPr>
          <w:rFonts w:cstheme="minorHAnsi"/>
          <w:sz w:val="24"/>
          <w:szCs w:val="24"/>
          <w:u w:color="000000"/>
        </w:rPr>
        <w:t xml:space="preserve"> </w:t>
      </w:r>
      <w:r w:rsidR="00C13BC0" w:rsidRPr="00847A8B">
        <w:rPr>
          <w:rFonts w:cstheme="minorHAnsi"/>
          <w:sz w:val="24"/>
          <w:szCs w:val="24"/>
          <w:u w:color="000000"/>
        </w:rPr>
        <w:t xml:space="preserve">may have </w:t>
      </w:r>
      <w:r w:rsidR="009C4880" w:rsidRPr="00847A8B">
        <w:rPr>
          <w:rFonts w:cstheme="minorHAnsi"/>
          <w:sz w:val="24"/>
          <w:szCs w:val="24"/>
          <w:u w:color="000000"/>
        </w:rPr>
        <w:t>underdeveloped</w:t>
      </w:r>
      <w:r w:rsidR="00C13BC0" w:rsidRPr="00847A8B">
        <w:rPr>
          <w:rFonts w:cstheme="minorHAnsi"/>
          <w:sz w:val="24"/>
          <w:szCs w:val="24"/>
          <w:u w:color="000000"/>
        </w:rPr>
        <w:t xml:space="preserve"> or weakened immunity, making them more</w:t>
      </w:r>
      <w:r w:rsidR="00EF74DE" w:rsidRPr="00847A8B">
        <w:rPr>
          <w:rFonts w:cstheme="minorHAnsi"/>
          <w:sz w:val="24"/>
          <w:szCs w:val="24"/>
          <w:u w:color="000000"/>
        </w:rPr>
        <w:t xml:space="preserve"> vulnerable to </w:t>
      </w:r>
      <w:r w:rsidR="00C13BC0" w:rsidRPr="00847A8B">
        <w:rPr>
          <w:rFonts w:cstheme="minorHAnsi"/>
          <w:sz w:val="24"/>
          <w:szCs w:val="24"/>
          <w:u w:color="000000"/>
        </w:rPr>
        <w:t xml:space="preserve">the health </w:t>
      </w:r>
      <w:r w:rsidR="009C4880" w:rsidRPr="00847A8B">
        <w:rPr>
          <w:rFonts w:cstheme="minorHAnsi"/>
          <w:sz w:val="24"/>
          <w:szCs w:val="24"/>
          <w:u w:color="000000"/>
        </w:rPr>
        <w:t>effects</w:t>
      </w:r>
      <w:r w:rsidR="00C13BC0" w:rsidRPr="00847A8B">
        <w:rPr>
          <w:rFonts w:cstheme="minorHAnsi"/>
          <w:sz w:val="24"/>
          <w:szCs w:val="24"/>
          <w:u w:color="000000"/>
        </w:rPr>
        <w:t xml:space="preserve"> of </w:t>
      </w:r>
      <w:r w:rsidR="00EF74DE" w:rsidRPr="00847A8B">
        <w:rPr>
          <w:rFonts w:cstheme="minorHAnsi"/>
          <w:sz w:val="24"/>
          <w:szCs w:val="24"/>
          <w:u w:color="000000"/>
        </w:rPr>
        <w:t>contaminant</w:t>
      </w:r>
      <w:r w:rsidR="009553F8" w:rsidRPr="00847A8B">
        <w:rPr>
          <w:rFonts w:cstheme="minorHAnsi"/>
          <w:sz w:val="24"/>
          <w:szCs w:val="24"/>
          <w:u w:color="000000"/>
        </w:rPr>
        <w:t xml:space="preserve">s. </w:t>
      </w:r>
      <w:r w:rsidR="00C13BC0" w:rsidRPr="00847A8B">
        <w:rPr>
          <w:rFonts w:cstheme="minorHAnsi"/>
          <w:sz w:val="24"/>
          <w:szCs w:val="24"/>
          <w:u w:color="000000"/>
        </w:rPr>
        <w:t>The young and elderly</w:t>
      </w:r>
      <w:r w:rsidR="0055374A" w:rsidRPr="00847A8B">
        <w:rPr>
          <w:rFonts w:cstheme="minorHAnsi"/>
          <w:sz w:val="24"/>
          <w:szCs w:val="24"/>
          <w:u w:color="000000"/>
        </w:rPr>
        <w:t>, as well as unhoused people,</w:t>
      </w:r>
      <w:r w:rsidR="00C13BC0" w:rsidRPr="00847A8B">
        <w:rPr>
          <w:rFonts w:cstheme="minorHAnsi"/>
          <w:sz w:val="24"/>
          <w:szCs w:val="24"/>
          <w:u w:color="000000"/>
        </w:rPr>
        <w:t xml:space="preserve"> are also vulnerable to extreme heat</w:t>
      </w:r>
      <w:r w:rsidR="00DE2ADE" w:rsidRPr="00847A8B">
        <w:rPr>
          <w:rFonts w:cstheme="minorHAnsi"/>
          <w:sz w:val="24"/>
          <w:szCs w:val="24"/>
          <w:u w:color="000000"/>
        </w:rPr>
        <w:t xml:space="preserve">. </w:t>
      </w:r>
      <w:r w:rsidR="0055374A" w:rsidRPr="00847A8B">
        <w:rPr>
          <w:rFonts w:cstheme="minorHAnsi"/>
          <w:sz w:val="24"/>
          <w:szCs w:val="24"/>
          <w:u w:color="000000"/>
        </w:rPr>
        <w:t>During a 2025 heat wave, Clackamas County emergency rooms and clinics recorded 101 heat</w:t>
      </w:r>
      <w:r w:rsidR="0055374A" w:rsidRPr="00847A8B">
        <w:rPr>
          <w:rFonts w:ascii="Cambria Math" w:hAnsi="Cambria Math" w:cs="Cambria Math"/>
          <w:sz w:val="24"/>
          <w:szCs w:val="24"/>
          <w:u w:color="000000"/>
        </w:rPr>
        <w:t>‑</w:t>
      </w:r>
      <w:r w:rsidR="0055374A" w:rsidRPr="00847A8B">
        <w:rPr>
          <w:rFonts w:cstheme="minorHAnsi"/>
          <w:sz w:val="24"/>
          <w:szCs w:val="24"/>
          <w:u w:color="000000"/>
        </w:rPr>
        <w:t>related medical visits</w:t>
      </w:r>
      <w:r w:rsidR="00C248E6" w:rsidRPr="00847A8B">
        <w:rPr>
          <w:rFonts w:cstheme="minorHAnsi"/>
          <w:sz w:val="24"/>
          <w:szCs w:val="24"/>
          <w:u w:color="000000"/>
        </w:rPr>
        <w:t xml:space="preserve"> and</w:t>
      </w:r>
      <w:r w:rsidR="00DE2ADE" w:rsidRPr="00847A8B">
        <w:rPr>
          <w:rFonts w:cstheme="minorHAnsi"/>
          <w:sz w:val="24"/>
          <w:szCs w:val="24"/>
          <w:u w:color="000000"/>
        </w:rPr>
        <w:t xml:space="preserve"> Clackamas County</w:t>
      </w:r>
      <w:r w:rsidR="000461B9" w:rsidRPr="00847A8B">
        <w:rPr>
          <w:rFonts w:cstheme="minorHAnsi"/>
          <w:sz w:val="24"/>
          <w:szCs w:val="24"/>
          <w:u w:color="000000"/>
        </w:rPr>
        <w:t xml:space="preserve"> investigated the death of a 55</w:t>
      </w:r>
      <w:r w:rsidR="000461B9" w:rsidRPr="00847A8B">
        <w:rPr>
          <w:rFonts w:ascii="Cambria Math" w:hAnsi="Cambria Math" w:cs="Cambria Math"/>
          <w:sz w:val="24"/>
          <w:szCs w:val="24"/>
          <w:u w:color="000000"/>
        </w:rPr>
        <w:t>‑</w:t>
      </w:r>
      <w:r w:rsidR="000461B9" w:rsidRPr="00847A8B">
        <w:rPr>
          <w:rFonts w:cstheme="minorHAnsi"/>
          <w:sz w:val="24"/>
          <w:szCs w:val="24"/>
          <w:u w:color="000000"/>
        </w:rPr>
        <w:t>year</w:t>
      </w:r>
      <w:r w:rsidR="000461B9" w:rsidRPr="00847A8B">
        <w:rPr>
          <w:rFonts w:ascii="Cambria Math" w:hAnsi="Cambria Math" w:cs="Cambria Math"/>
          <w:sz w:val="24"/>
          <w:szCs w:val="24"/>
          <w:u w:color="000000"/>
        </w:rPr>
        <w:t>‑</w:t>
      </w:r>
      <w:r w:rsidR="000461B9" w:rsidRPr="00847A8B">
        <w:rPr>
          <w:rFonts w:cstheme="minorHAnsi"/>
          <w:sz w:val="24"/>
          <w:szCs w:val="24"/>
          <w:u w:color="000000"/>
        </w:rPr>
        <w:t>old woman in Oregon City as potentially heat</w:t>
      </w:r>
      <w:r w:rsidR="000461B9" w:rsidRPr="00847A8B">
        <w:rPr>
          <w:rFonts w:ascii="Cambria Math" w:hAnsi="Cambria Math" w:cs="Cambria Math"/>
          <w:sz w:val="24"/>
          <w:szCs w:val="24"/>
          <w:u w:color="000000"/>
        </w:rPr>
        <w:t>‑</w:t>
      </w:r>
      <w:r w:rsidR="000461B9" w:rsidRPr="00847A8B">
        <w:rPr>
          <w:rFonts w:cstheme="minorHAnsi"/>
          <w:sz w:val="24"/>
          <w:szCs w:val="24"/>
          <w:u w:color="000000"/>
        </w:rPr>
        <w:t>related</w:t>
      </w:r>
      <w:r w:rsidR="00263105" w:rsidRPr="00847A8B">
        <w:rPr>
          <w:rFonts w:cstheme="minorHAnsi"/>
          <w:sz w:val="24"/>
          <w:szCs w:val="24"/>
          <w:u w:color="000000"/>
        </w:rPr>
        <w:t>.</w:t>
      </w:r>
    </w:p>
    <w:p w14:paraId="30C4DD12" w14:textId="53720D4E" w:rsidR="009961BF" w:rsidRPr="00847A8B" w:rsidRDefault="009961BF" w:rsidP="00EA03AF">
      <w:pPr>
        <w:autoSpaceDE w:val="0"/>
        <w:autoSpaceDN w:val="0"/>
        <w:adjustRightInd w:val="0"/>
        <w:spacing w:before="60" w:after="60" w:line="240" w:lineRule="exact"/>
        <w:rPr>
          <w:rFonts w:cstheme="minorHAnsi"/>
          <w:sz w:val="24"/>
          <w:szCs w:val="24"/>
          <w:u w:color="000000"/>
        </w:rPr>
      </w:pPr>
      <w:r w:rsidRPr="00847A8B">
        <w:rPr>
          <w:rFonts w:cstheme="minorHAnsi"/>
          <w:sz w:val="24"/>
          <w:szCs w:val="24"/>
          <w:u w:color="000000"/>
        </w:rPr>
        <w:t xml:space="preserve">This grant will </w:t>
      </w:r>
      <w:r w:rsidR="00DD217A" w:rsidRPr="00847A8B">
        <w:rPr>
          <w:rFonts w:cstheme="minorHAnsi"/>
          <w:sz w:val="24"/>
          <w:szCs w:val="24"/>
          <w:u w:color="000000"/>
        </w:rPr>
        <w:t>remove contaminants, eliminating</w:t>
      </w:r>
      <w:r w:rsidR="00995753" w:rsidRPr="00847A8B">
        <w:rPr>
          <w:rFonts w:cstheme="minorHAnsi"/>
          <w:sz w:val="24"/>
          <w:szCs w:val="24"/>
          <w:u w:color="000000"/>
        </w:rPr>
        <w:t xml:space="preserve"> potential exposure of sensitive populations </w:t>
      </w:r>
      <w:r w:rsidR="003877BF" w:rsidRPr="00847A8B">
        <w:rPr>
          <w:rFonts w:cstheme="minorHAnsi"/>
          <w:sz w:val="24"/>
          <w:szCs w:val="24"/>
          <w:u w:color="000000"/>
        </w:rPr>
        <w:t>on and near the Site</w:t>
      </w:r>
      <w:r w:rsidRPr="00847A8B">
        <w:rPr>
          <w:rFonts w:cstheme="minorHAnsi"/>
          <w:sz w:val="24"/>
          <w:szCs w:val="24"/>
          <w:u w:color="000000"/>
        </w:rPr>
        <w:t xml:space="preserve">. Cleanup </w:t>
      </w:r>
      <w:r w:rsidR="00376AA2" w:rsidRPr="00847A8B">
        <w:rPr>
          <w:rFonts w:cstheme="minorHAnsi"/>
          <w:sz w:val="24"/>
          <w:szCs w:val="24"/>
          <w:u w:color="000000"/>
        </w:rPr>
        <w:t xml:space="preserve">and reactivation of the Site will </w:t>
      </w:r>
      <w:r w:rsidR="00CE53E5" w:rsidRPr="00847A8B">
        <w:rPr>
          <w:rFonts w:cstheme="minorHAnsi"/>
          <w:sz w:val="24"/>
          <w:szCs w:val="24"/>
          <w:u w:color="000000"/>
        </w:rPr>
        <w:t xml:space="preserve">remove an attractive </w:t>
      </w:r>
      <w:r w:rsidR="0043056F" w:rsidRPr="00847A8B">
        <w:rPr>
          <w:rFonts w:cstheme="minorHAnsi"/>
          <w:sz w:val="24"/>
          <w:szCs w:val="24"/>
          <w:u w:color="000000"/>
        </w:rPr>
        <w:t xml:space="preserve">nuisance and will boost the local tax base </w:t>
      </w:r>
      <w:r w:rsidR="007B1AB1" w:rsidRPr="00847A8B">
        <w:rPr>
          <w:rFonts w:cstheme="minorHAnsi"/>
          <w:sz w:val="24"/>
          <w:szCs w:val="24"/>
          <w:u w:color="000000"/>
        </w:rPr>
        <w:t>allowing</w:t>
      </w:r>
      <w:r w:rsidR="0043056F" w:rsidRPr="00847A8B">
        <w:rPr>
          <w:rFonts w:cstheme="minorHAnsi"/>
          <w:sz w:val="24"/>
          <w:szCs w:val="24"/>
          <w:u w:color="000000"/>
        </w:rPr>
        <w:t xml:space="preserve"> revenues to be directed toward addressing homelessness</w:t>
      </w:r>
      <w:r w:rsidRPr="00847A8B">
        <w:rPr>
          <w:rFonts w:cstheme="minorHAnsi"/>
          <w:sz w:val="24"/>
          <w:szCs w:val="24"/>
          <w:u w:color="000000"/>
        </w:rPr>
        <w:t>.</w:t>
      </w:r>
      <w:r w:rsidR="00015596" w:rsidRPr="00847A8B">
        <w:rPr>
          <w:rFonts w:cstheme="minorHAnsi"/>
          <w:sz w:val="24"/>
          <w:szCs w:val="24"/>
          <w:u w:color="000000"/>
        </w:rPr>
        <w:t xml:space="preserve"> The Site redevelopment plan </w:t>
      </w:r>
      <w:r w:rsidR="00253BD6" w:rsidRPr="00847A8B">
        <w:rPr>
          <w:rFonts w:cstheme="minorHAnsi"/>
          <w:sz w:val="24"/>
          <w:szCs w:val="24"/>
          <w:u w:color="000000"/>
        </w:rPr>
        <w:t xml:space="preserve">will </w:t>
      </w:r>
      <w:r w:rsidR="0043056F" w:rsidRPr="00847A8B">
        <w:rPr>
          <w:rFonts w:cstheme="minorHAnsi"/>
          <w:sz w:val="24"/>
          <w:szCs w:val="24"/>
          <w:u w:color="000000"/>
        </w:rPr>
        <w:t xml:space="preserve">also </w:t>
      </w:r>
      <w:r w:rsidR="00253BD6" w:rsidRPr="00847A8B">
        <w:rPr>
          <w:rFonts w:cstheme="minorHAnsi"/>
          <w:sz w:val="24"/>
          <w:szCs w:val="24"/>
          <w:u w:color="000000"/>
        </w:rPr>
        <w:t>increase greenspace</w:t>
      </w:r>
      <w:r w:rsidR="0036067C" w:rsidRPr="00847A8B">
        <w:rPr>
          <w:rFonts w:cstheme="minorHAnsi"/>
          <w:sz w:val="24"/>
          <w:szCs w:val="24"/>
          <w:u w:color="000000"/>
        </w:rPr>
        <w:t xml:space="preserve">, </w:t>
      </w:r>
      <w:r w:rsidR="0043056F" w:rsidRPr="00847A8B">
        <w:rPr>
          <w:rFonts w:cstheme="minorHAnsi"/>
          <w:sz w:val="24"/>
          <w:szCs w:val="24"/>
          <w:u w:color="000000"/>
        </w:rPr>
        <w:t>which will</w:t>
      </w:r>
      <w:r w:rsidR="00253BD6" w:rsidRPr="00847A8B">
        <w:rPr>
          <w:rFonts w:cstheme="minorHAnsi"/>
          <w:sz w:val="24"/>
          <w:szCs w:val="24"/>
          <w:u w:color="000000"/>
        </w:rPr>
        <w:t xml:space="preserve"> </w:t>
      </w:r>
      <w:r w:rsidR="003877BF" w:rsidRPr="00847A8B">
        <w:rPr>
          <w:rFonts w:cstheme="minorHAnsi"/>
          <w:sz w:val="24"/>
          <w:szCs w:val="24"/>
          <w:u w:color="000000"/>
        </w:rPr>
        <w:t>help with</w:t>
      </w:r>
      <w:r w:rsidR="00253BD6" w:rsidRPr="00847A8B">
        <w:rPr>
          <w:rFonts w:cstheme="minorHAnsi"/>
          <w:sz w:val="24"/>
          <w:szCs w:val="24"/>
          <w:u w:color="000000"/>
        </w:rPr>
        <w:t xml:space="preserve"> extreme heat </w:t>
      </w:r>
      <w:r w:rsidR="003877BF" w:rsidRPr="00847A8B">
        <w:rPr>
          <w:rFonts w:cstheme="minorHAnsi"/>
          <w:sz w:val="24"/>
          <w:szCs w:val="24"/>
          <w:u w:color="000000"/>
        </w:rPr>
        <w:t>events</w:t>
      </w:r>
      <w:r w:rsidR="0036067C" w:rsidRPr="00847A8B">
        <w:rPr>
          <w:rFonts w:cstheme="minorHAnsi"/>
          <w:sz w:val="24"/>
          <w:szCs w:val="24"/>
          <w:u w:color="000000"/>
        </w:rPr>
        <w:t>,</w:t>
      </w:r>
      <w:r w:rsidR="003877BF" w:rsidRPr="00847A8B">
        <w:rPr>
          <w:rFonts w:cstheme="minorHAnsi"/>
          <w:sz w:val="24"/>
          <w:szCs w:val="24"/>
          <w:u w:color="000000"/>
        </w:rPr>
        <w:t xml:space="preserve"> and </w:t>
      </w:r>
      <w:r w:rsidR="0036067C" w:rsidRPr="00847A8B">
        <w:rPr>
          <w:rFonts w:cstheme="minorHAnsi"/>
          <w:sz w:val="24"/>
          <w:szCs w:val="24"/>
          <w:u w:color="000000"/>
        </w:rPr>
        <w:t>increase flood management capacity</w:t>
      </w:r>
      <w:r w:rsidR="00253BD6" w:rsidRPr="00847A8B">
        <w:rPr>
          <w:rFonts w:cstheme="minorHAnsi"/>
          <w:sz w:val="24"/>
          <w:szCs w:val="24"/>
          <w:u w:color="000000"/>
        </w:rPr>
        <w:t>.</w:t>
      </w:r>
    </w:p>
    <w:p w14:paraId="1B631A44" w14:textId="77777777" w:rsidR="00334BF0" w:rsidRDefault="00612A8B" w:rsidP="001D2AEF">
      <w:pPr>
        <w:autoSpaceDE w:val="0"/>
        <w:autoSpaceDN w:val="0"/>
        <w:adjustRightInd w:val="0"/>
        <w:spacing w:after="60" w:line="240" w:lineRule="exact"/>
        <w:rPr>
          <w:rFonts w:cstheme="minorHAnsi"/>
          <w:sz w:val="24"/>
          <w:szCs w:val="24"/>
          <w:u w:color="000000"/>
        </w:rPr>
      </w:pPr>
      <w:r w:rsidRPr="00847A8B">
        <w:rPr>
          <w:rFonts w:cstheme="minorHAnsi"/>
          <w:b/>
          <w:sz w:val="24"/>
          <w:szCs w:val="24"/>
          <w:u w:val="single"/>
        </w:rPr>
        <w:t>2.</w:t>
      </w:r>
      <w:r w:rsidR="00A32C42" w:rsidRPr="00847A8B">
        <w:rPr>
          <w:rFonts w:cstheme="minorHAnsi"/>
          <w:b/>
          <w:sz w:val="24"/>
          <w:szCs w:val="24"/>
          <w:u w:val="single"/>
        </w:rPr>
        <w:t>c.</w:t>
      </w:r>
      <w:r w:rsidRPr="00847A8B">
        <w:rPr>
          <w:rFonts w:cstheme="minorHAnsi"/>
          <w:b/>
          <w:sz w:val="24"/>
          <w:szCs w:val="24"/>
          <w:u w:val="single"/>
        </w:rPr>
        <w:t xml:space="preserve"> </w:t>
      </w:r>
      <w:r w:rsidR="00831EB9" w:rsidRPr="00847A8B">
        <w:rPr>
          <w:rFonts w:cstheme="minorHAnsi"/>
          <w:b/>
          <w:sz w:val="24"/>
          <w:szCs w:val="24"/>
          <w:u w:val="single"/>
        </w:rPr>
        <w:t xml:space="preserve">Greater Than Normal Incidence of Disease </w:t>
      </w:r>
      <w:r w:rsidR="00F97CFD" w:rsidRPr="00847A8B">
        <w:rPr>
          <w:rFonts w:cstheme="minorHAnsi"/>
          <w:b/>
          <w:sz w:val="24"/>
          <w:szCs w:val="24"/>
          <w:u w:val="single"/>
        </w:rPr>
        <w:t>&amp;</w:t>
      </w:r>
      <w:r w:rsidR="00831EB9" w:rsidRPr="00847A8B">
        <w:rPr>
          <w:rFonts w:cstheme="minorHAnsi"/>
          <w:b/>
          <w:sz w:val="24"/>
          <w:szCs w:val="24"/>
          <w:u w:val="single"/>
        </w:rPr>
        <w:t xml:space="preserve"> Adverse Health Conditions</w:t>
      </w:r>
      <w:r w:rsidR="00920447" w:rsidRPr="00847A8B">
        <w:rPr>
          <w:rFonts w:cstheme="minorHAnsi"/>
          <w:b/>
          <w:sz w:val="24"/>
          <w:szCs w:val="24"/>
        </w:rPr>
        <w:t>:</w:t>
      </w:r>
      <w:r w:rsidR="007B7C3D" w:rsidRPr="00847A8B">
        <w:rPr>
          <w:rFonts w:cstheme="minorHAnsi"/>
          <w:b/>
          <w:sz w:val="24"/>
          <w:szCs w:val="24"/>
        </w:rPr>
        <w:t xml:space="preserve"> </w:t>
      </w:r>
      <w:r w:rsidR="00E53F65" w:rsidRPr="00330683">
        <w:rPr>
          <w:rFonts w:cstheme="minorHAnsi"/>
          <w:bCs/>
          <w:sz w:val="24"/>
          <w:szCs w:val="24"/>
        </w:rPr>
        <w:t>The most recent</w:t>
      </w:r>
      <w:r w:rsidR="00467587" w:rsidRPr="00847A8B">
        <w:rPr>
          <w:rFonts w:cstheme="minorHAnsi"/>
          <w:sz w:val="24"/>
          <w:szCs w:val="24"/>
        </w:rPr>
        <w:t xml:space="preserve"> Clackamas County Health Assessment</w:t>
      </w:r>
      <w:r w:rsidR="00EA03AF" w:rsidRPr="00847A8B">
        <w:rPr>
          <w:rFonts w:cstheme="minorHAnsi"/>
          <w:sz w:val="24"/>
          <w:szCs w:val="24"/>
        </w:rPr>
        <w:t xml:space="preserve"> shows that cancer</w:t>
      </w:r>
      <w:r w:rsidR="00A0761D" w:rsidRPr="00847A8B">
        <w:rPr>
          <w:rFonts w:cstheme="minorHAnsi"/>
          <w:sz w:val="24"/>
          <w:szCs w:val="24"/>
        </w:rPr>
        <w:t xml:space="preserve"> </w:t>
      </w:r>
      <w:r w:rsidR="00B6347E">
        <w:rPr>
          <w:rFonts w:cstheme="minorHAnsi"/>
          <w:sz w:val="24"/>
          <w:szCs w:val="24"/>
        </w:rPr>
        <w:t>is one of</w:t>
      </w:r>
      <w:r w:rsidR="00A0761D" w:rsidRPr="00847A8B">
        <w:rPr>
          <w:rFonts w:cstheme="minorHAnsi"/>
          <w:sz w:val="24"/>
          <w:szCs w:val="24"/>
        </w:rPr>
        <w:t xml:space="preserve"> </w:t>
      </w:r>
      <w:r w:rsidR="00EA03AF" w:rsidRPr="00847A8B">
        <w:rPr>
          <w:rFonts w:cstheme="minorHAnsi"/>
          <w:sz w:val="24"/>
          <w:szCs w:val="24"/>
        </w:rPr>
        <w:t xml:space="preserve">the leading </w:t>
      </w:r>
      <w:r w:rsidR="00EA03AF" w:rsidRPr="00416CDF">
        <w:rPr>
          <w:rFonts w:cstheme="minorHAnsi"/>
          <w:sz w:val="24"/>
          <w:szCs w:val="24"/>
        </w:rPr>
        <w:t>cause</w:t>
      </w:r>
      <w:r w:rsidR="00A0761D" w:rsidRPr="00416CDF">
        <w:rPr>
          <w:rFonts w:cstheme="minorHAnsi"/>
          <w:sz w:val="24"/>
          <w:szCs w:val="24"/>
        </w:rPr>
        <w:t>s of preventable</w:t>
      </w:r>
      <w:r w:rsidR="00EA03AF" w:rsidRPr="00416CDF">
        <w:rPr>
          <w:rFonts w:cstheme="minorHAnsi"/>
          <w:sz w:val="24"/>
          <w:szCs w:val="24"/>
        </w:rPr>
        <w:t xml:space="preserve"> </w:t>
      </w:r>
      <w:r w:rsidR="00EA03AF" w:rsidRPr="00416CDF">
        <w:rPr>
          <w:rFonts w:cstheme="minorHAnsi"/>
          <w:sz w:val="24"/>
          <w:szCs w:val="24"/>
        </w:rPr>
        <w:lastRenderedPageBreak/>
        <w:t>death</w:t>
      </w:r>
      <w:r w:rsidR="00A0761D" w:rsidRPr="00416CDF">
        <w:rPr>
          <w:rFonts w:cstheme="minorHAnsi"/>
          <w:sz w:val="24"/>
          <w:szCs w:val="24"/>
        </w:rPr>
        <w:t>s</w:t>
      </w:r>
      <w:r w:rsidR="00EA03AF" w:rsidRPr="00416CDF">
        <w:rPr>
          <w:rFonts w:cstheme="minorHAnsi"/>
          <w:sz w:val="24"/>
          <w:szCs w:val="24"/>
        </w:rPr>
        <w:t xml:space="preserve"> in </w:t>
      </w:r>
      <w:r w:rsidR="00797760" w:rsidRPr="00416CDF">
        <w:rPr>
          <w:rFonts w:cstheme="minorHAnsi"/>
          <w:sz w:val="24"/>
          <w:szCs w:val="24"/>
        </w:rPr>
        <w:t>the county</w:t>
      </w:r>
      <w:r w:rsidR="00971EA3">
        <w:rPr>
          <w:rFonts w:cstheme="minorHAnsi"/>
          <w:sz w:val="24"/>
          <w:szCs w:val="24"/>
        </w:rPr>
        <w:t xml:space="preserve"> (Table 2)</w:t>
      </w:r>
      <w:r w:rsidR="00A0761D" w:rsidRPr="00416CDF">
        <w:rPr>
          <w:rFonts w:cstheme="minorHAnsi"/>
          <w:sz w:val="24"/>
          <w:szCs w:val="24"/>
        </w:rPr>
        <w:t>.</w:t>
      </w:r>
      <w:r w:rsidR="00E53F65">
        <w:rPr>
          <w:rStyle w:val="FootnoteReference"/>
          <w:rFonts w:cstheme="minorHAnsi"/>
          <w:sz w:val="24"/>
          <w:szCs w:val="24"/>
        </w:rPr>
        <w:footnoteReference w:id="7"/>
      </w:r>
      <w:r w:rsidR="00A0761D" w:rsidRPr="00416CDF">
        <w:rPr>
          <w:rFonts w:cstheme="minorHAnsi"/>
          <w:sz w:val="24"/>
          <w:szCs w:val="24"/>
        </w:rPr>
        <w:t xml:space="preserve"> </w:t>
      </w:r>
      <w:r w:rsidR="001D2AEF" w:rsidRPr="00416CDF">
        <w:rPr>
          <w:rFonts w:cstheme="minorHAnsi"/>
          <w:sz w:val="24"/>
          <w:szCs w:val="24"/>
        </w:rPr>
        <w:t xml:space="preserve">Clackamas </w:t>
      </w:r>
      <w:r w:rsidR="001D2AEF" w:rsidRPr="00A43E47">
        <w:rPr>
          <w:rFonts w:cstheme="minorHAnsi"/>
          <w:sz w:val="24"/>
          <w:szCs w:val="24"/>
        </w:rPr>
        <w:t>C</w:t>
      </w:r>
      <w:r w:rsidR="00A0761D" w:rsidRPr="00A43E47">
        <w:rPr>
          <w:rFonts w:cstheme="minorHAnsi"/>
          <w:sz w:val="24"/>
          <w:szCs w:val="24"/>
        </w:rPr>
        <w:t>ounty</w:t>
      </w:r>
      <w:r w:rsidR="001D2AEF" w:rsidRPr="00A43E47">
        <w:rPr>
          <w:rFonts w:cstheme="minorHAnsi"/>
          <w:sz w:val="24"/>
          <w:szCs w:val="24"/>
        </w:rPr>
        <w:t xml:space="preserve"> is in the worst 25% of Oregon counties for cancer rate among the Medicare population comprised mostly of people who are over 65 and younger people </w:t>
      </w:r>
      <w:r w:rsidR="000C1DC2" w:rsidRPr="00847A8B">
        <w:rPr>
          <w:rFonts w:cstheme="minorHAnsi"/>
          <w:noProof/>
          <w:sz w:val="24"/>
          <w:szCs w:val="24"/>
          <w:u w:color="000000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28614FE" wp14:editId="06C8FA1B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2035175" cy="1717040"/>
                <wp:effectExtent l="0" t="0" r="3175" b="0"/>
                <wp:wrapSquare wrapText="bothSides"/>
                <wp:docPr id="15214450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175" cy="171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615"/>
                              <w:gridCol w:w="1530"/>
                            </w:tblGrid>
                            <w:tr w:rsidR="00847A8B" w14:paraId="0B56736B" w14:textId="77777777" w:rsidTr="00A72800">
                              <w:tc>
                                <w:tcPr>
                                  <w:tcW w:w="1615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62EFE6BF" w14:textId="7BB8B9FD" w:rsidR="00847A8B" w:rsidRPr="00B41C1C" w:rsidRDefault="000244EB" w:rsidP="00F334AC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 xml:space="preserve">Table </w:t>
                                  </w:r>
                                  <w:r w:rsidR="00CC7EE2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2</w:t>
                                  </w:r>
                                  <w:r w:rsidR="00CC7EE2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br/>
                                  </w:r>
                                  <w:r w:rsidR="00847A8B" w:rsidRPr="00B41C1C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Cancer type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shd w:val="clear" w:color="auto" w:fill="BFBFBF" w:themeFill="background1" w:themeFillShade="BF"/>
                                  <w:vAlign w:val="center"/>
                                </w:tcPr>
                                <w:p w14:paraId="28742905" w14:textId="77777777" w:rsidR="00847A8B" w:rsidRPr="00B41C1C" w:rsidRDefault="00847A8B" w:rsidP="00F334AC">
                                  <w:pPr>
                                    <w:keepLines/>
                                    <w:widowControl w:val="0"/>
                                    <w:spacing w:line="240" w:lineRule="exact"/>
                                    <w:jc w:val="center"/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eastAsia="Calibri" w:cstheme="minorHAnsi"/>
                                      <w:b/>
                                      <w:bCs/>
                                      <w:spacing w:val="-8"/>
                                      <w:sz w:val="23"/>
                                      <w:szCs w:val="23"/>
                                    </w:rPr>
                                    <w:t>Clackamas County State Percentile</w:t>
                                  </w:r>
                                </w:p>
                              </w:tc>
                            </w:tr>
                            <w:tr w:rsidR="00847A8B" w14:paraId="7791F677" w14:textId="77777777" w:rsidTr="00F334AC"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0E96981B" w14:textId="77777777" w:rsidR="00847A8B" w:rsidRPr="00B41C1C" w:rsidRDefault="00847A8B" w:rsidP="00847A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All cancers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4255FB2E" w14:textId="61A8F4BE" w:rsidR="00847A8B" w:rsidRPr="00B41C1C" w:rsidRDefault="00847A8B" w:rsidP="00F33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jc w:val="center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78</w:t>
                                  </w: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847A8B" w14:paraId="1D502F5B" w14:textId="77777777" w:rsidTr="00F334AC"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35A91C81" w14:textId="77777777" w:rsidR="00847A8B" w:rsidRPr="00B41C1C" w:rsidRDefault="00847A8B" w:rsidP="00847A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Melanoma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33B762A5" w14:textId="29C206E6" w:rsidR="00847A8B" w:rsidRPr="00B41C1C" w:rsidRDefault="00847A8B" w:rsidP="00F33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jc w:val="center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99</w:t>
                                  </w: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847A8B" w14:paraId="6D9CF4C3" w14:textId="77777777" w:rsidTr="00F334AC"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2835809D" w14:textId="77777777" w:rsidR="00847A8B" w:rsidRPr="00B41C1C" w:rsidRDefault="00847A8B" w:rsidP="00847A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Breast Cancer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2793D69C" w14:textId="138F7249" w:rsidR="00847A8B" w:rsidRPr="00B41C1C" w:rsidRDefault="00847A8B" w:rsidP="00F33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jc w:val="center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75</w:t>
                                  </w: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  <w:tr w:rsidR="00847A8B" w:rsidRPr="0010386B" w14:paraId="6F75C405" w14:textId="77777777" w:rsidTr="00F334AC">
                              <w:tc>
                                <w:tcPr>
                                  <w:tcW w:w="1615" w:type="dxa"/>
                                  <w:vAlign w:val="center"/>
                                </w:tcPr>
                                <w:p w14:paraId="3966D1BB" w14:textId="77777777" w:rsidR="00847A8B" w:rsidRPr="00B41C1C" w:rsidRDefault="00847A8B" w:rsidP="00847A8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Childhood Cancers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center"/>
                                </w:tcPr>
                                <w:p w14:paraId="3888B432" w14:textId="01200E00" w:rsidR="00847A8B" w:rsidRPr="00B41C1C" w:rsidRDefault="00847A8B" w:rsidP="00F334A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60" w:line="240" w:lineRule="exact"/>
                                    <w:jc w:val="center"/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</w:pP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</w:rPr>
                                    <w:t>96</w:t>
                                  </w:r>
                                  <w:r w:rsidRPr="00B41C1C">
                                    <w:rPr>
                                      <w:rFonts w:cstheme="minorHAnsi"/>
                                      <w:sz w:val="23"/>
                                      <w:szCs w:val="23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</w:tr>
                          </w:tbl>
                          <w:p w14:paraId="2F547AA1" w14:textId="7C8E9497" w:rsidR="00847A8B" w:rsidRDefault="00847A8B" w:rsidP="00544CB7">
                            <w:pPr>
                              <w:spacing w:line="240" w:lineRule="auto"/>
                            </w:pPr>
                            <w:r w:rsidRPr="0010386B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Source: </w:t>
                            </w:r>
                            <w:r w:rsidR="003C765B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NIH </w:t>
                            </w:r>
                            <w:r w:rsidRPr="0010386B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National Cancer Institute 2017-2021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614FE" id="_x0000_s1027" type="#_x0000_t202" style="position:absolute;margin-left:0;margin-top:6.2pt;width:160.25pt;height:135.2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615"/>
                        <w:gridCol w:w="1530"/>
                      </w:tblGrid>
                      <w:tr w:rsidR="00847A8B" w14:paraId="0B56736B" w14:textId="77777777" w:rsidTr="00A72800">
                        <w:tc>
                          <w:tcPr>
                            <w:tcW w:w="1615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62EFE6BF" w14:textId="7BB8B9FD" w:rsidR="00847A8B" w:rsidRPr="00B41C1C" w:rsidRDefault="000244EB" w:rsidP="00F334AC">
                            <w:pPr>
                              <w:keepLines/>
                              <w:widowControl w:val="0"/>
                              <w:spacing w:line="240" w:lineRule="exact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 xml:space="preserve">Table </w:t>
                            </w:r>
                            <w:r w:rsidR="00CC7EE2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2</w:t>
                            </w:r>
                            <w:r w:rsidR="00CC7EE2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br/>
                            </w:r>
                            <w:r w:rsidR="00847A8B" w:rsidRPr="00B41C1C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Cancer type</w:t>
                            </w:r>
                          </w:p>
                        </w:tc>
                        <w:tc>
                          <w:tcPr>
                            <w:tcW w:w="1530" w:type="dxa"/>
                            <w:shd w:val="clear" w:color="auto" w:fill="BFBFBF" w:themeFill="background1" w:themeFillShade="BF"/>
                            <w:vAlign w:val="center"/>
                          </w:tcPr>
                          <w:p w14:paraId="28742905" w14:textId="77777777" w:rsidR="00847A8B" w:rsidRPr="00B41C1C" w:rsidRDefault="00847A8B" w:rsidP="00F334AC">
                            <w:pPr>
                              <w:keepLines/>
                              <w:widowControl w:val="0"/>
                              <w:spacing w:line="240" w:lineRule="exact"/>
                              <w:jc w:val="center"/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eastAsia="Calibri" w:cstheme="minorHAnsi"/>
                                <w:b/>
                                <w:bCs/>
                                <w:spacing w:val="-8"/>
                                <w:sz w:val="23"/>
                                <w:szCs w:val="23"/>
                              </w:rPr>
                              <w:t>Clackamas County State Percentile</w:t>
                            </w:r>
                          </w:p>
                        </w:tc>
                      </w:tr>
                      <w:tr w:rsidR="00847A8B" w14:paraId="7791F677" w14:textId="77777777" w:rsidTr="00F334AC">
                        <w:tc>
                          <w:tcPr>
                            <w:tcW w:w="1615" w:type="dxa"/>
                            <w:vAlign w:val="center"/>
                          </w:tcPr>
                          <w:p w14:paraId="0E96981B" w14:textId="77777777" w:rsidR="00847A8B" w:rsidRPr="00B41C1C" w:rsidRDefault="00847A8B" w:rsidP="00847A8B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All cancers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4255FB2E" w14:textId="61A8F4BE" w:rsidR="00847A8B" w:rsidRPr="00B41C1C" w:rsidRDefault="00847A8B" w:rsidP="00F334AC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jc w:val="center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78</w:t>
                            </w: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  <w:tr w:rsidR="00847A8B" w14:paraId="1D502F5B" w14:textId="77777777" w:rsidTr="00F334AC">
                        <w:tc>
                          <w:tcPr>
                            <w:tcW w:w="1615" w:type="dxa"/>
                            <w:vAlign w:val="center"/>
                          </w:tcPr>
                          <w:p w14:paraId="35A91C81" w14:textId="77777777" w:rsidR="00847A8B" w:rsidRPr="00B41C1C" w:rsidRDefault="00847A8B" w:rsidP="00847A8B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Melanoma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33B762A5" w14:textId="29C206E6" w:rsidR="00847A8B" w:rsidRPr="00B41C1C" w:rsidRDefault="00847A8B" w:rsidP="00F334AC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jc w:val="center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99</w:t>
                            </w: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  <w:tr w:rsidR="00847A8B" w14:paraId="6D9CF4C3" w14:textId="77777777" w:rsidTr="00F334AC">
                        <w:tc>
                          <w:tcPr>
                            <w:tcW w:w="1615" w:type="dxa"/>
                            <w:vAlign w:val="center"/>
                          </w:tcPr>
                          <w:p w14:paraId="2835809D" w14:textId="77777777" w:rsidR="00847A8B" w:rsidRPr="00B41C1C" w:rsidRDefault="00847A8B" w:rsidP="00847A8B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Breast Cancer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2793D69C" w14:textId="138F7249" w:rsidR="00847A8B" w:rsidRPr="00B41C1C" w:rsidRDefault="00847A8B" w:rsidP="00F334AC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jc w:val="center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75</w:t>
                            </w: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  <w:tr w:rsidR="00847A8B" w:rsidRPr="0010386B" w14:paraId="6F75C405" w14:textId="77777777" w:rsidTr="00F334AC">
                        <w:tc>
                          <w:tcPr>
                            <w:tcW w:w="1615" w:type="dxa"/>
                            <w:vAlign w:val="center"/>
                          </w:tcPr>
                          <w:p w14:paraId="3966D1BB" w14:textId="77777777" w:rsidR="00847A8B" w:rsidRPr="00B41C1C" w:rsidRDefault="00847A8B" w:rsidP="00847A8B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Childhood Cancers</w:t>
                            </w:r>
                          </w:p>
                        </w:tc>
                        <w:tc>
                          <w:tcPr>
                            <w:tcW w:w="1530" w:type="dxa"/>
                            <w:vAlign w:val="center"/>
                          </w:tcPr>
                          <w:p w14:paraId="3888B432" w14:textId="01200E00" w:rsidR="00847A8B" w:rsidRPr="00B41C1C" w:rsidRDefault="00847A8B" w:rsidP="00F334AC">
                            <w:pPr>
                              <w:autoSpaceDE w:val="0"/>
                              <w:autoSpaceDN w:val="0"/>
                              <w:adjustRightInd w:val="0"/>
                              <w:spacing w:after="60" w:line="240" w:lineRule="exact"/>
                              <w:jc w:val="center"/>
                              <w:rPr>
                                <w:rFonts w:cstheme="minorHAnsi"/>
                                <w:sz w:val="23"/>
                                <w:szCs w:val="23"/>
                              </w:rPr>
                            </w:pP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</w:rPr>
                              <w:t>96</w:t>
                            </w:r>
                            <w:r w:rsidRPr="00B41C1C">
                              <w:rPr>
                                <w:rFonts w:cstheme="minorHAnsi"/>
                                <w:sz w:val="23"/>
                                <w:szCs w:val="23"/>
                                <w:vertAlign w:val="superscript"/>
                              </w:rPr>
                              <w:t>th</w:t>
                            </w:r>
                          </w:p>
                        </w:tc>
                      </w:tr>
                    </w:tbl>
                    <w:p w14:paraId="2F547AA1" w14:textId="7C8E9497" w:rsidR="00847A8B" w:rsidRDefault="00847A8B" w:rsidP="00544CB7">
                      <w:pPr>
                        <w:spacing w:line="240" w:lineRule="auto"/>
                      </w:pPr>
                      <w:r w:rsidRPr="0010386B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Source: </w:t>
                      </w:r>
                      <w:r w:rsidR="003C765B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NIH </w:t>
                      </w:r>
                      <w:r w:rsidRPr="0010386B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National Cancer Institute 2017-2021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2AEF" w:rsidRPr="00A43E47">
        <w:rPr>
          <w:rFonts w:cstheme="minorHAnsi"/>
          <w:sz w:val="24"/>
          <w:szCs w:val="24"/>
        </w:rPr>
        <w:t>with disabilities.</w:t>
      </w:r>
      <w:r w:rsidR="00330683" w:rsidRPr="00A43E47">
        <w:rPr>
          <w:rStyle w:val="FootnoteReference"/>
          <w:rFonts w:cstheme="minorHAnsi"/>
          <w:sz w:val="24"/>
          <w:szCs w:val="24"/>
        </w:rPr>
        <w:footnoteReference w:id="8"/>
      </w:r>
      <w:r w:rsidR="00163C3E" w:rsidRPr="00A43E47">
        <w:rPr>
          <w:rFonts w:cstheme="minorHAnsi"/>
          <w:sz w:val="24"/>
          <w:szCs w:val="24"/>
        </w:rPr>
        <w:t xml:space="preserve"> </w:t>
      </w:r>
      <w:r w:rsidR="001D2AEF" w:rsidRPr="00A43E47">
        <w:rPr>
          <w:rFonts w:cstheme="minorHAnsi"/>
          <w:sz w:val="24"/>
          <w:szCs w:val="24"/>
          <w:u w:color="000000"/>
        </w:rPr>
        <w:t>The</w:t>
      </w:r>
      <w:r w:rsidR="00A0761D" w:rsidRPr="00A43E47">
        <w:rPr>
          <w:rFonts w:cstheme="minorHAnsi"/>
          <w:sz w:val="24"/>
          <w:szCs w:val="24"/>
          <w:u w:color="000000"/>
        </w:rPr>
        <w:t xml:space="preserve"> Oregon Health Authority </w:t>
      </w:r>
      <w:r w:rsidR="00FE053B" w:rsidRPr="00A43E47">
        <w:rPr>
          <w:rFonts w:cstheme="minorHAnsi"/>
          <w:sz w:val="24"/>
          <w:szCs w:val="24"/>
          <w:u w:color="000000"/>
        </w:rPr>
        <w:t>found</w:t>
      </w:r>
      <w:r w:rsidR="00A0761D" w:rsidRPr="00A43E47">
        <w:rPr>
          <w:rFonts w:cstheme="minorHAnsi"/>
          <w:sz w:val="24"/>
          <w:szCs w:val="24"/>
          <w:u w:color="000000"/>
        </w:rPr>
        <w:t xml:space="preserve"> that Clackamas County’s </w:t>
      </w:r>
      <w:r w:rsidR="000F2DB5" w:rsidRPr="00A43E47">
        <w:rPr>
          <w:rFonts w:cstheme="minorHAnsi"/>
          <w:sz w:val="24"/>
          <w:szCs w:val="24"/>
          <w:u w:color="000000"/>
        </w:rPr>
        <w:t>2018-</w:t>
      </w:r>
      <w:r w:rsidR="00B403DF" w:rsidRPr="00A43E47">
        <w:rPr>
          <w:rFonts w:cstheme="minorHAnsi"/>
          <w:sz w:val="24"/>
          <w:szCs w:val="24"/>
          <w:u w:color="000000"/>
        </w:rPr>
        <w:t xml:space="preserve">2022 </w:t>
      </w:r>
      <w:r w:rsidR="00031E67" w:rsidRPr="00A43E47">
        <w:rPr>
          <w:rFonts w:cstheme="minorHAnsi"/>
          <w:sz w:val="24"/>
          <w:szCs w:val="24"/>
          <w:u w:color="000000"/>
        </w:rPr>
        <w:t xml:space="preserve">incidence </w:t>
      </w:r>
      <w:r w:rsidR="000F2DB5" w:rsidRPr="00A43E47">
        <w:rPr>
          <w:rFonts w:cstheme="minorHAnsi"/>
          <w:sz w:val="24"/>
          <w:szCs w:val="24"/>
          <w:u w:color="000000"/>
        </w:rPr>
        <w:t>rate for</w:t>
      </w:r>
      <w:r w:rsidR="00031E67" w:rsidRPr="00A43E47">
        <w:rPr>
          <w:rFonts w:cstheme="minorHAnsi"/>
          <w:sz w:val="24"/>
          <w:szCs w:val="24"/>
          <w:u w:color="000000"/>
        </w:rPr>
        <w:t xml:space="preserve"> all cancers </w:t>
      </w:r>
      <w:r w:rsidR="00A0761D" w:rsidRPr="00A43E47">
        <w:rPr>
          <w:rFonts w:cstheme="minorHAnsi"/>
          <w:sz w:val="24"/>
          <w:szCs w:val="24"/>
          <w:u w:color="000000"/>
        </w:rPr>
        <w:t>(4</w:t>
      </w:r>
      <w:r w:rsidR="00031E67" w:rsidRPr="00A43E47">
        <w:rPr>
          <w:rFonts w:cstheme="minorHAnsi"/>
          <w:sz w:val="24"/>
          <w:szCs w:val="24"/>
          <w:u w:color="000000"/>
        </w:rPr>
        <w:t>43.6</w:t>
      </w:r>
      <w:r w:rsidR="000F2DB5" w:rsidRPr="00A43E47">
        <w:rPr>
          <w:rFonts w:cstheme="minorHAnsi"/>
          <w:sz w:val="24"/>
          <w:szCs w:val="24"/>
          <w:u w:color="000000"/>
        </w:rPr>
        <w:t xml:space="preserve"> per 100K</w:t>
      </w:r>
      <w:r w:rsidR="00A0761D" w:rsidRPr="00A43E47">
        <w:rPr>
          <w:rFonts w:cstheme="minorHAnsi"/>
          <w:sz w:val="24"/>
          <w:szCs w:val="24"/>
          <w:u w:color="000000"/>
        </w:rPr>
        <w:t>) was higher than the state rate of 4</w:t>
      </w:r>
      <w:r w:rsidR="000F2DB5" w:rsidRPr="00A43E47">
        <w:rPr>
          <w:rFonts w:cstheme="minorHAnsi"/>
          <w:sz w:val="24"/>
          <w:szCs w:val="24"/>
          <w:u w:color="000000"/>
        </w:rPr>
        <w:t>02.1 per 100K</w:t>
      </w:r>
      <w:r w:rsidR="00A0761D" w:rsidRPr="00A43E47">
        <w:rPr>
          <w:rFonts w:cstheme="minorHAnsi"/>
          <w:sz w:val="24"/>
          <w:szCs w:val="24"/>
          <w:u w:color="000000"/>
        </w:rPr>
        <w:t>.</w:t>
      </w:r>
      <w:r w:rsidR="007576D3" w:rsidRPr="00A43E47">
        <w:rPr>
          <w:rStyle w:val="FootnoteReference"/>
          <w:rFonts w:cstheme="minorHAnsi"/>
          <w:sz w:val="24"/>
          <w:szCs w:val="24"/>
          <w:u w:color="000000"/>
        </w:rPr>
        <w:footnoteReference w:id="9"/>
      </w:r>
      <w:r w:rsidR="00C20E87" w:rsidRPr="00A43E47">
        <w:rPr>
          <w:rFonts w:cstheme="minorHAnsi"/>
          <w:sz w:val="24"/>
          <w:szCs w:val="24"/>
          <w:u w:color="000000"/>
        </w:rPr>
        <w:t xml:space="preserve"> </w:t>
      </w:r>
      <w:r w:rsidR="00334BF0">
        <w:rPr>
          <w:rFonts w:cstheme="minorHAnsi"/>
          <w:sz w:val="24"/>
          <w:szCs w:val="24"/>
          <w:u w:color="000000"/>
        </w:rPr>
        <w:t>R</w:t>
      </w:r>
      <w:r w:rsidR="00C06025">
        <w:rPr>
          <w:rFonts w:cstheme="minorHAnsi"/>
          <w:sz w:val="24"/>
          <w:szCs w:val="24"/>
          <w:u w:color="000000"/>
        </w:rPr>
        <w:t xml:space="preserve">esidents in the three census tracts closest to the Site </w:t>
      </w:r>
      <w:r w:rsidR="00C93BCB">
        <w:rPr>
          <w:rFonts w:cstheme="minorHAnsi"/>
          <w:sz w:val="24"/>
          <w:szCs w:val="24"/>
          <w:u w:color="000000"/>
        </w:rPr>
        <w:t>are in the 73</w:t>
      </w:r>
      <w:r w:rsidR="00C93BCB" w:rsidRPr="00C93BCB">
        <w:rPr>
          <w:rFonts w:cstheme="minorHAnsi"/>
          <w:sz w:val="24"/>
          <w:szCs w:val="24"/>
          <w:u w:color="000000"/>
          <w:vertAlign w:val="superscript"/>
        </w:rPr>
        <w:t>rd</w:t>
      </w:r>
      <w:r w:rsidR="00C93BCB">
        <w:rPr>
          <w:rFonts w:cstheme="minorHAnsi"/>
          <w:sz w:val="24"/>
          <w:szCs w:val="24"/>
          <w:u w:color="000000"/>
        </w:rPr>
        <w:t xml:space="preserve"> to 90</w:t>
      </w:r>
      <w:r w:rsidR="00C93BCB" w:rsidRPr="00C93BCB">
        <w:rPr>
          <w:rFonts w:cstheme="minorHAnsi"/>
          <w:sz w:val="24"/>
          <w:szCs w:val="24"/>
          <w:u w:color="000000"/>
          <w:vertAlign w:val="superscript"/>
        </w:rPr>
        <w:t>th</w:t>
      </w:r>
      <w:r w:rsidR="00C93BCB">
        <w:rPr>
          <w:rFonts w:cstheme="minorHAnsi"/>
          <w:sz w:val="24"/>
          <w:szCs w:val="24"/>
          <w:u w:color="000000"/>
        </w:rPr>
        <w:t xml:space="preserve"> state percentiles for low life expectancy.</w:t>
      </w:r>
      <w:r w:rsidR="00302A39">
        <w:rPr>
          <w:rStyle w:val="FootnoteReference"/>
          <w:rFonts w:cstheme="minorHAnsi"/>
          <w:sz w:val="24"/>
          <w:szCs w:val="24"/>
          <w:u w:color="000000"/>
        </w:rPr>
        <w:footnoteReference w:id="10"/>
      </w:r>
      <w:r w:rsidR="00C93BCB">
        <w:rPr>
          <w:rFonts w:cstheme="minorHAnsi"/>
          <w:sz w:val="24"/>
          <w:szCs w:val="24"/>
          <w:u w:color="000000"/>
        </w:rPr>
        <w:t xml:space="preserve"> </w:t>
      </w:r>
    </w:p>
    <w:p w14:paraId="415467CE" w14:textId="7BF98131" w:rsidR="00F97CFD" w:rsidRPr="00C00AB4" w:rsidRDefault="00FE053B" w:rsidP="00E7116C">
      <w:pPr>
        <w:autoSpaceDE w:val="0"/>
        <w:autoSpaceDN w:val="0"/>
        <w:adjustRightInd w:val="0"/>
        <w:spacing w:after="60" w:line="240" w:lineRule="exact"/>
        <w:rPr>
          <w:rFonts w:cstheme="minorHAnsi"/>
          <w:sz w:val="24"/>
          <w:szCs w:val="24"/>
          <w:u w:color="000000"/>
        </w:rPr>
      </w:pPr>
      <w:r w:rsidRPr="00A43E47">
        <w:rPr>
          <w:rFonts w:cstheme="minorHAnsi"/>
          <w:sz w:val="24"/>
          <w:szCs w:val="24"/>
          <w:u w:color="000000"/>
        </w:rPr>
        <w:t xml:space="preserve">Known </w:t>
      </w:r>
      <w:r w:rsidR="007576D3" w:rsidRPr="00A43E47">
        <w:rPr>
          <w:rFonts w:cstheme="minorHAnsi"/>
          <w:sz w:val="24"/>
          <w:szCs w:val="24"/>
          <w:u w:color="000000"/>
        </w:rPr>
        <w:t xml:space="preserve">Site </w:t>
      </w:r>
      <w:r w:rsidRPr="00A43E47">
        <w:rPr>
          <w:rFonts w:cstheme="minorHAnsi"/>
          <w:sz w:val="24"/>
          <w:szCs w:val="24"/>
          <w:u w:color="000000"/>
        </w:rPr>
        <w:t xml:space="preserve">contaminants include carcinogens such as </w:t>
      </w:r>
      <w:r w:rsidR="008657F9" w:rsidRPr="00A43E47">
        <w:rPr>
          <w:rFonts w:cstheme="minorHAnsi"/>
          <w:sz w:val="24"/>
          <w:szCs w:val="24"/>
          <w:u w:color="000000"/>
        </w:rPr>
        <w:t xml:space="preserve">asbestos, </w:t>
      </w:r>
      <w:r w:rsidR="007576D3" w:rsidRPr="00A43E47">
        <w:rPr>
          <w:rFonts w:cstheme="minorHAnsi"/>
          <w:sz w:val="24"/>
          <w:szCs w:val="24"/>
          <w:u w:color="000000"/>
        </w:rPr>
        <w:t>polychlorinated biphenyls</w:t>
      </w:r>
      <w:r w:rsidRPr="00A43E47">
        <w:rPr>
          <w:rFonts w:cstheme="minorHAnsi"/>
          <w:sz w:val="24"/>
          <w:szCs w:val="24"/>
          <w:u w:color="000000"/>
        </w:rPr>
        <w:t xml:space="preserve">, petroleum constituents such as benzene and benzo(a)pyrene, and heavy metals. </w:t>
      </w:r>
      <w:r w:rsidRPr="00F70244">
        <w:rPr>
          <w:rFonts w:cstheme="minorHAnsi"/>
          <w:sz w:val="24"/>
          <w:szCs w:val="24"/>
          <w:u w:color="000000"/>
        </w:rPr>
        <w:t>C</w:t>
      </w:r>
      <w:r w:rsidR="00381385" w:rsidRPr="00F70244">
        <w:rPr>
          <w:rFonts w:cstheme="minorHAnsi"/>
          <w:sz w:val="24"/>
          <w:szCs w:val="24"/>
          <w:u w:color="000000"/>
        </w:rPr>
        <w:t>ontamination</w:t>
      </w:r>
      <w:r w:rsidR="006A6BC2" w:rsidRPr="00F70244">
        <w:rPr>
          <w:rFonts w:cstheme="minorHAnsi"/>
          <w:sz w:val="24"/>
          <w:szCs w:val="24"/>
          <w:u w:color="000000"/>
        </w:rPr>
        <w:t xml:space="preserve"> </w:t>
      </w:r>
      <w:r w:rsidRPr="00F70244">
        <w:rPr>
          <w:rFonts w:cstheme="minorHAnsi"/>
          <w:sz w:val="24"/>
          <w:szCs w:val="24"/>
          <w:u w:color="000000"/>
        </w:rPr>
        <w:t>in</w:t>
      </w:r>
      <w:r w:rsidR="006A6BC2" w:rsidRPr="00F70244">
        <w:rPr>
          <w:rFonts w:cstheme="minorHAnsi"/>
          <w:sz w:val="24"/>
          <w:szCs w:val="24"/>
          <w:u w:color="000000"/>
        </w:rPr>
        <w:t xml:space="preserve"> surface soil and crumbling buildings</w:t>
      </w:r>
      <w:r w:rsidR="00381385" w:rsidRPr="00F70244">
        <w:rPr>
          <w:rFonts w:cstheme="minorHAnsi"/>
          <w:sz w:val="24"/>
          <w:szCs w:val="24"/>
          <w:u w:color="000000"/>
        </w:rPr>
        <w:t xml:space="preserve"> </w:t>
      </w:r>
      <w:r w:rsidR="006A6BC2" w:rsidRPr="00F70244">
        <w:rPr>
          <w:rFonts w:cstheme="minorHAnsi"/>
          <w:sz w:val="24"/>
          <w:szCs w:val="24"/>
          <w:u w:color="000000"/>
        </w:rPr>
        <w:t xml:space="preserve">at </w:t>
      </w:r>
      <w:r w:rsidR="00230E4E" w:rsidRPr="00F70244">
        <w:rPr>
          <w:rFonts w:cstheme="minorHAnsi"/>
          <w:sz w:val="24"/>
          <w:szCs w:val="24"/>
          <w:u w:color="000000"/>
        </w:rPr>
        <w:t>this</w:t>
      </w:r>
      <w:r w:rsidR="00551C41" w:rsidRPr="00F70244">
        <w:rPr>
          <w:rFonts w:cstheme="minorHAnsi"/>
          <w:sz w:val="24"/>
          <w:szCs w:val="24"/>
          <w:u w:color="000000"/>
        </w:rPr>
        <w:t xml:space="preserve"> </w:t>
      </w:r>
      <w:r w:rsidR="00230E4E" w:rsidRPr="00F70244">
        <w:rPr>
          <w:rFonts w:cstheme="minorHAnsi"/>
          <w:sz w:val="24"/>
          <w:szCs w:val="24"/>
          <w:u w:color="000000"/>
        </w:rPr>
        <w:t>large brownfield</w:t>
      </w:r>
      <w:r w:rsidR="006A6BC2" w:rsidRPr="00F70244">
        <w:rPr>
          <w:rFonts w:cstheme="minorHAnsi"/>
          <w:sz w:val="24"/>
          <w:szCs w:val="24"/>
          <w:u w:color="000000"/>
        </w:rPr>
        <w:t xml:space="preserve"> </w:t>
      </w:r>
      <w:r w:rsidR="00381385" w:rsidRPr="00F70244">
        <w:rPr>
          <w:rFonts w:cstheme="minorHAnsi"/>
          <w:sz w:val="24"/>
          <w:szCs w:val="24"/>
          <w:u w:color="000000"/>
        </w:rPr>
        <w:t xml:space="preserve">may become airborne as vapor or dust or be washed from the Site </w:t>
      </w:r>
      <w:r w:rsidRPr="00F70244">
        <w:rPr>
          <w:rFonts w:cstheme="minorHAnsi"/>
          <w:sz w:val="24"/>
          <w:szCs w:val="24"/>
          <w:u w:color="000000"/>
        </w:rPr>
        <w:t>i</w:t>
      </w:r>
      <w:r w:rsidR="00381385" w:rsidRPr="00F70244">
        <w:rPr>
          <w:rFonts w:cstheme="minorHAnsi"/>
          <w:sz w:val="24"/>
          <w:szCs w:val="24"/>
          <w:u w:color="000000"/>
        </w:rPr>
        <w:t>nto the surrounding area</w:t>
      </w:r>
      <w:r w:rsidRPr="00F70244">
        <w:rPr>
          <w:rFonts w:cstheme="minorHAnsi"/>
          <w:sz w:val="24"/>
          <w:szCs w:val="24"/>
          <w:u w:color="000000"/>
        </w:rPr>
        <w:t>, and onsite t</w:t>
      </w:r>
      <w:r w:rsidR="006A6BC2" w:rsidRPr="00F70244">
        <w:rPr>
          <w:rFonts w:cstheme="minorHAnsi"/>
          <w:sz w:val="24"/>
          <w:szCs w:val="24"/>
          <w:u w:color="000000"/>
        </w:rPr>
        <w:t xml:space="preserve">respassers </w:t>
      </w:r>
      <w:r w:rsidR="006A6BC2" w:rsidRPr="00C00AB4">
        <w:rPr>
          <w:rFonts w:cstheme="minorHAnsi"/>
          <w:sz w:val="24"/>
          <w:szCs w:val="24"/>
          <w:u w:color="000000"/>
        </w:rPr>
        <w:t>may come into direct contact with these contaminants</w:t>
      </w:r>
      <w:r w:rsidR="001E2B2B" w:rsidRPr="00C00AB4">
        <w:rPr>
          <w:rFonts w:cstheme="minorHAnsi"/>
          <w:sz w:val="24"/>
          <w:szCs w:val="24"/>
          <w:u w:color="000000"/>
        </w:rPr>
        <w:t xml:space="preserve">. This grant will enable final cleanup of the site, removing these contaminants from the community and preparing the site for </w:t>
      </w:r>
      <w:r w:rsidR="00F70244" w:rsidRPr="00C00AB4">
        <w:rPr>
          <w:rFonts w:cstheme="minorHAnsi"/>
          <w:sz w:val="24"/>
          <w:szCs w:val="24"/>
          <w:u w:color="000000"/>
        </w:rPr>
        <w:t xml:space="preserve">healthy reuse. </w:t>
      </w:r>
    </w:p>
    <w:tbl>
      <w:tblPr>
        <w:tblStyle w:val="TableGrid"/>
        <w:tblpPr w:leftFromText="187" w:rightFromText="187" w:vertAnchor="text" w:horzAnchor="margin" w:tblpXSpec="right" w:tblpY="145"/>
        <w:tblOverlap w:val="never"/>
        <w:tblW w:w="0" w:type="auto"/>
        <w:jc w:val="right"/>
        <w:tblLook w:val="04A0" w:firstRow="1" w:lastRow="0" w:firstColumn="1" w:lastColumn="0" w:noHBand="0" w:noVBand="1"/>
      </w:tblPr>
      <w:tblGrid>
        <w:gridCol w:w="2695"/>
        <w:gridCol w:w="1440"/>
      </w:tblGrid>
      <w:tr w:rsidR="00C828E2" w:rsidRPr="00C00AB4" w14:paraId="64C6280A" w14:textId="77777777" w:rsidTr="00A6306E">
        <w:trPr>
          <w:jc w:val="right"/>
        </w:trPr>
        <w:tc>
          <w:tcPr>
            <w:tcW w:w="2695" w:type="dxa"/>
            <w:shd w:val="clear" w:color="auto" w:fill="D9D9D9" w:themeFill="background1" w:themeFillShade="D9"/>
            <w:vAlign w:val="center"/>
          </w:tcPr>
          <w:p w14:paraId="1E9C3212" w14:textId="1BCC2198" w:rsidR="00C828E2" w:rsidRPr="00A6306E" w:rsidRDefault="00C828E2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 xml:space="preserve">Table 3 </w:t>
            </w:r>
            <w:r w:rsidR="009D612C"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–</w:t>
            </w:r>
            <w:r w:rsidR="00C13EB7"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 xml:space="preserve"> </w:t>
            </w:r>
            <w:r w:rsidR="009D612C"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Environmental Burden</w:t>
            </w:r>
            <w:r w:rsidR="00F820D2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 xml:space="preserve">/Economic </w:t>
            </w:r>
            <w:r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Indicator</w:t>
            </w:r>
            <w:r w:rsidR="00A83757" w:rsidRPr="00A6306E">
              <w:rPr>
                <w:rStyle w:val="FootnoteReference"/>
                <w:rFonts w:eastAsia="Calibri" w:cstheme="minorHAnsi"/>
                <w:b/>
                <w:bCs/>
                <w:spacing w:val="-8"/>
                <w:sz w:val="23"/>
                <w:szCs w:val="23"/>
              </w:rPr>
              <w:footnoteReference w:id="11"/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6939AD9C" w14:textId="7A850E6E" w:rsidR="00C828E2" w:rsidRPr="00A6306E" w:rsidRDefault="00C828E2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Target Area</w:t>
            </w:r>
            <w:r w:rsidR="002D71CA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*</w:t>
            </w:r>
            <w:r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 xml:space="preserve"> Percentile in </w:t>
            </w:r>
            <w:r w:rsidR="004F29EA" w:rsidRPr="00A6306E">
              <w:rPr>
                <w:rFonts w:eastAsia="Calibri" w:cstheme="minorHAnsi"/>
                <w:b/>
                <w:bCs/>
                <w:spacing w:val="-8"/>
                <w:sz w:val="23"/>
                <w:szCs w:val="23"/>
              </w:rPr>
              <w:t>US</w:t>
            </w:r>
          </w:p>
        </w:tc>
      </w:tr>
      <w:tr w:rsidR="00C828E2" w:rsidRPr="00C00AB4" w14:paraId="4DF0CCB7" w14:textId="77777777" w:rsidTr="00A6306E">
        <w:trPr>
          <w:jc w:val="right"/>
        </w:trPr>
        <w:tc>
          <w:tcPr>
            <w:tcW w:w="2695" w:type="dxa"/>
            <w:vAlign w:val="center"/>
          </w:tcPr>
          <w:p w14:paraId="20FAF6D4" w14:textId="350151F0" w:rsidR="00C828E2" w:rsidRPr="00A6306E" w:rsidRDefault="00CC7DD7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Total </w:t>
            </w:r>
            <w:r w:rsidR="001177E2"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Environmental Burden </w:t>
            </w:r>
          </w:p>
        </w:tc>
        <w:tc>
          <w:tcPr>
            <w:tcW w:w="1440" w:type="dxa"/>
            <w:vAlign w:val="center"/>
          </w:tcPr>
          <w:p w14:paraId="56DBEBC5" w14:textId="570D59D3" w:rsidR="00C828E2" w:rsidRPr="00A6306E" w:rsidRDefault="009D612C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92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nd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364A0A5C" w14:textId="77777777" w:rsidTr="00A6306E">
        <w:trPr>
          <w:jc w:val="right"/>
        </w:trPr>
        <w:tc>
          <w:tcPr>
            <w:tcW w:w="2695" w:type="dxa"/>
            <w:vAlign w:val="center"/>
          </w:tcPr>
          <w:p w14:paraId="29EA74C1" w14:textId="39234E2C" w:rsidR="00C828E2" w:rsidRPr="00A6306E" w:rsidRDefault="00CC7DD7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Air Pollution</w:t>
            </w:r>
          </w:p>
        </w:tc>
        <w:tc>
          <w:tcPr>
            <w:tcW w:w="1440" w:type="dxa"/>
            <w:vAlign w:val="center"/>
          </w:tcPr>
          <w:p w14:paraId="228DD5A6" w14:textId="23B1440D" w:rsidR="00C828E2" w:rsidRPr="00A6306E" w:rsidRDefault="00CC7DD7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97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038D7DE8" w14:textId="77777777" w:rsidTr="00A6306E">
        <w:trPr>
          <w:jc w:val="right"/>
        </w:trPr>
        <w:tc>
          <w:tcPr>
            <w:tcW w:w="2695" w:type="dxa"/>
            <w:vAlign w:val="center"/>
          </w:tcPr>
          <w:p w14:paraId="517C4915" w14:textId="1F5969C9" w:rsidR="00C828E2" w:rsidRPr="00A6306E" w:rsidRDefault="008418E0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>
              <w:rPr>
                <w:rFonts w:eastAsia="Calibri" w:cstheme="minorHAnsi"/>
                <w:spacing w:val="-8"/>
                <w:sz w:val="23"/>
                <w:szCs w:val="23"/>
              </w:rPr>
              <w:t>Water Pollution</w:t>
            </w:r>
          </w:p>
        </w:tc>
        <w:tc>
          <w:tcPr>
            <w:tcW w:w="1440" w:type="dxa"/>
            <w:vAlign w:val="center"/>
          </w:tcPr>
          <w:p w14:paraId="280C866B" w14:textId="5CC40AF5" w:rsidR="00C828E2" w:rsidRPr="00A6306E" w:rsidRDefault="00487A6A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89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136FA354" w14:textId="77777777" w:rsidTr="00A6306E">
        <w:trPr>
          <w:jc w:val="right"/>
        </w:trPr>
        <w:tc>
          <w:tcPr>
            <w:tcW w:w="2695" w:type="dxa"/>
            <w:vAlign w:val="center"/>
          </w:tcPr>
          <w:p w14:paraId="7E2D83AA" w14:textId="7B82B899" w:rsidR="00C828E2" w:rsidRPr="00A6306E" w:rsidRDefault="0046038A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Toxic</w:t>
            </w:r>
            <w:r w:rsidR="00A6306E" w:rsidRPr="00A6306E">
              <w:rPr>
                <w:rFonts w:eastAsia="Calibri" w:cstheme="minorHAnsi"/>
                <w:spacing w:val="-8"/>
                <w:sz w:val="23"/>
                <w:szCs w:val="23"/>
              </w:rPr>
              <w:t>s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Release Inventory</w:t>
            </w:r>
          </w:p>
        </w:tc>
        <w:tc>
          <w:tcPr>
            <w:tcW w:w="1440" w:type="dxa"/>
            <w:vAlign w:val="center"/>
          </w:tcPr>
          <w:p w14:paraId="3320FBFB" w14:textId="5AA74DEB" w:rsidR="00C828E2" w:rsidRPr="00A6306E" w:rsidRDefault="00C95817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82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nd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1946E26C" w14:textId="77777777" w:rsidTr="00A6306E">
        <w:trPr>
          <w:jc w:val="right"/>
        </w:trPr>
        <w:tc>
          <w:tcPr>
            <w:tcW w:w="2695" w:type="dxa"/>
            <w:vAlign w:val="center"/>
          </w:tcPr>
          <w:p w14:paraId="3CD98A82" w14:textId="3B58BBA9" w:rsidR="00C828E2" w:rsidRPr="00A6306E" w:rsidRDefault="00C95817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Risk Management Plan Sites</w:t>
            </w:r>
          </w:p>
        </w:tc>
        <w:tc>
          <w:tcPr>
            <w:tcW w:w="1440" w:type="dxa"/>
            <w:vAlign w:val="center"/>
          </w:tcPr>
          <w:p w14:paraId="00A37186" w14:textId="78A3D56C" w:rsidR="00C828E2" w:rsidRPr="00A6306E" w:rsidRDefault="00C95817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77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048B5563" w14:textId="77777777" w:rsidTr="00A6306E">
        <w:trPr>
          <w:jc w:val="right"/>
        </w:trPr>
        <w:tc>
          <w:tcPr>
            <w:tcW w:w="2695" w:type="dxa"/>
            <w:vAlign w:val="center"/>
          </w:tcPr>
          <w:p w14:paraId="4F68FA50" w14:textId="57727D15" w:rsidR="00C828E2" w:rsidRPr="00A6306E" w:rsidRDefault="00C95817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Housing Built Pre-1980</w:t>
            </w:r>
          </w:p>
        </w:tc>
        <w:tc>
          <w:tcPr>
            <w:tcW w:w="1440" w:type="dxa"/>
            <w:vAlign w:val="center"/>
          </w:tcPr>
          <w:p w14:paraId="0957B36F" w14:textId="54ED80CE" w:rsidR="00C828E2" w:rsidRPr="00A6306E" w:rsidRDefault="00A5332E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74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C828E2" w:rsidRPr="00C00AB4" w14:paraId="1FDA2FAF" w14:textId="77777777" w:rsidTr="00A6306E">
        <w:trPr>
          <w:jc w:val="right"/>
        </w:trPr>
        <w:tc>
          <w:tcPr>
            <w:tcW w:w="2695" w:type="dxa"/>
            <w:vAlign w:val="center"/>
          </w:tcPr>
          <w:p w14:paraId="705762F2" w14:textId="5D39CCDB" w:rsidR="00C828E2" w:rsidRPr="00A6306E" w:rsidRDefault="00A5332E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Railways</w:t>
            </w:r>
          </w:p>
        </w:tc>
        <w:tc>
          <w:tcPr>
            <w:tcW w:w="1440" w:type="dxa"/>
            <w:vAlign w:val="center"/>
          </w:tcPr>
          <w:p w14:paraId="637BCFA7" w14:textId="06CD84B0" w:rsidR="00C828E2" w:rsidRPr="00A6306E" w:rsidRDefault="00A5332E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>77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 w:rsidRPr="00A6306E"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F820D2" w:rsidRPr="00C00AB4" w14:paraId="78D9BFA3" w14:textId="77777777" w:rsidTr="00A6306E">
        <w:trPr>
          <w:jc w:val="right"/>
        </w:trPr>
        <w:tc>
          <w:tcPr>
            <w:tcW w:w="2695" w:type="dxa"/>
            <w:vAlign w:val="center"/>
          </w:tcPr>
          <w:p w14:paraId="72D53638" w14:textId="5A573811" w:rsidR="00F820D2" w:rsidRPr="00A6306E" w:rsidRDefault="001A17B6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>
              <w:rPr>
                <w:rFonts w:eastAsia="Calibri" w:cstheme="minorHAnsi"/>
                <w:spacing w:val="-8"/>
                <w:sz w:val="23"/>
                <w:szCs w:val="23"/>
              </w:rPr>
              <w:t>Poverty</w:t>
            </w:r>
          </w:p>
        </w:tc>
        <w:tc>
          <w:tcPr>
            <w:tcW w:w="1440" w:type="dxa"/>
            <w:vAlign w:val="center"/>
          </w:tcPr>
          <w:p w14:paraId="788DF415" w14:textId="5C816D76" w:rsidR="00F820D2" w:rsidRPr="00A6306E" w:rsidRDefault="001A17B6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>
              <w:rPr>
                <w:rFonts w:eastAsia="Calibri" w:cstheme="minorHAnsi"/>
                <w:spacing w:val="-8"/>
                <w:sz w:val="23"/>
                <w:szCs w:val="23"/>
              </w:rPr>
              <w:t>54</w:t>
            </w:r>
            <w:r w:rsidRPr="001A17B6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  <w:tr w:rsidR="0095747F" w:rsidRPr="00C00AB4" w14:paraId="264D399D" w14:textId="77777777" w:rsidTr="00A6306E">
        <w:trPr>
          <w:jc w:val="right"/>
        </w:trPr>
        <w:tc>
          <w:tcPr>
            <w:tcW w:w="2695" w:type="dxa"/>
            <w:vAlign w:val="center"/>
          </w:tcPr>
          <w:p w14:paraId="4B6B6035" w14:textId="6BC7FD93" w:rsidR="0095747F" w:rsidRPr="00A6306E" w:rsidRDefault="001A17B6" w:rsidP="008F6A9D">
            <w:pPr>
              <w:widowControl w:val="0"/>
              <w:spacing w:line="240" w:lineRule="exact"/>
              <w:rPr>
                <w:rFonts w:eastAsia="Calibri" w:cstheme="minorHAnsi"/>
                <w:spacing w:val="-8"/>
                <w:sz w:val="23"/>
                <w:szCs w:val="23"/>
              </w:rPr>
            </w:pPr>
            <w:r>
              <w:rPr>
                <w:rFonts w:eastAsia="Calibri" w:cstheme="minorHAnsi"/>
                <w:spacing w:val="-8"/>
                <w:sz w:val="23"/>
                <w:szCs w:val="23"/>
              </w:rPr>
              <w:t>Housing Cost Burden</w:t>
            </w:r>
          </w:p>
        </w:tc>
        <w:tc>
          <w:tcPr>
            <w:tcW w:w="1440" w:type="dxa"/>
            <w:vAlign w:val="center"/>
          </w:tcPr>
          <w:p w14:paraId="7156B43B" w14:textId="2BC89531" w:rsidR="0095747F" w:rsidRPr="00A6306E" w:rsidRDefault="00965957" w:rsidP="008F6A9D">
            <w:pPr>
              <w:widowControl w:val="0"/>
              <w:spacing w:line="240" w:lineRule="exact"/>
              <w:jc w:val="center"/>
              <w:rPr>
                <w:rFonts w:eastAsia="Calibri" w:cstheme="minorHAnsi"/>
                <w:spacing w:val="-8"/>
                <w:sz w:val="23"/>
                <w:szCs w:val="23"/>
              </w:rPr>
            </w:pPr>
            <w:r>
              <w:rPr>
                <w:rFonts w:eastAsia="Calibri" w:cstheme="minorHAnsi"/>
                <w:spacing w:val="-8"/>
                <w:sz w:val="23"/>
                <w:szCs w:val="23"/>
              </w:rPr>
              <w:t>67</w:t>
            </w:r>
            <w:r w:rsidRPr="00965957">
              <w:rPr>
                <w:rFonts w:eastAsia="Calibri" w:cstheme="minorHAnsi"/>
                <w:spacing w:val="-8"/>
                <w:sz w:val="23"/>
                <w:szCs w:val="23"/>
                <w:vertAlign w:val="superscript"/>
              </w:rPr>
              <w:t>th</w:t>
            </w:r>
            <w:r>
              <w:rPr>
                <w:rFonts w:eastAsia="Calibri" w:cstheme="minorHAnsi"/>
                <w:spacing w:val="-8"/>
                <w:sz w:val="23"/>
                <w:szCs w:val="23"/>
              </w:rPr>
              <w:t xml:space="preserve"> </w:t>
            </w:r>
          </w:p>
        </w:tc>
      </w:tr>
    </w:tbl>
    <w:p w14:paraId="5F9F48C7" w14:textId="69A78C67" w:rsidR="00E83BB7" w:rsidRPr="00E83BB7" w:rsidRDefault="00612A8B" w:rsidP="00E83BB7">
      <w:pPr>
        <w:widowControl w:val="0"/>
        <w:spacing w:before="40" w:after="0" w:line="240" w:lineRule="exact"/>
        <w:rPr>
          <w:rFonts w:ascii="Segoe UI" w:eastAsia="Times New Roman" w:hAnsi="Segoe UI" w:cs="Segoe UI"/>
          <w:sz w:val="21"/>
          <w:szCs w:val="21"/>
        </w:rPr>
      </w:pPr>
      <w:r w:rsidRPr="00E83BB7">
        <w:rPr>
          <w:rFonts w:cstheme="minorHAnsi"/>
          <w:b/>
          <w:bCs/>
          <w:sz w:val="24"/>
          <w:szCs w:val="24"/>
          <w:u w:val="single"/>
        </w:rPr>
        <w:t>2.</w:t>
      </w:r>
      <w:r w:rsidR="00A32C42" w:rsidRPr="00E83BB7">
        <w:rPr>
          <w:rFonts w:cstheme="minorHAnsi"/>
          <w:b/>
          <w:bCs/>
          <w:sz w:val="24"/>
          <w:szCs w:val="24"/>
          <w:u w:val="single"/>
        </w:rPr>
        <w:t>d.</w:t>
      </w:r>
      <w:r w:rsidRPr="00E83BB7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A32C42" w:rsidRPr="00E83BB7">
        <w:rPr>
          <w:rFonts w:cstheme="minorHAnsi"/>
          <w:b/>
          <w:bCs/>
          <w:sz w:val="24"/>
          <w:szCs w:val="24"/>
          <w:u w:val="single"/>
        </w:rPr>
        <w:t>Economically</w:t>
      </w:r>
      <w:r w:rsidR="00F60BAD" w:rsidRPr="00E83BB7">
        <w:rPr>
          <w:rFonts w:cstheme="minorHAnsi"/>
          <w:b/>
          <w:bCs/>
          <w:sz w:val="24"/>
          <w:szCs w:val="24"/>
          <w:u w:val="single"/>
        </w:rPr>
        <w:t xml:space="preserve"> Impoverished/Disproportionately Impacted Populations</w:t>
      </w:r>
      <w:r w:rsidR="00453524" w:rsidRPr="00E83BB7">
        <w:rPr>
          <w:rFonts w:cstheme="minorHAnsi"/>
          <w:sz w:val="24"/>
          <w:szCs w:val="24"/>
          <w:u w:color="000000"/>
        </w:rPr>
        <w:t xml:space="preserve">: </w:t>
      </w:r>
      <w:r w:rsidR="00C613D6" w:rsidRPr="00E83BB7">
        <w:rPr>
          <w:rFonts w:cstheme="minorHAnsi"/>
          <w:sz w:val="24"/>
          <w:szCs w:val="24"/>
          <w:u w:color="000000"/>
        </w:rPr>
        <w:t>Target Area residents</w:t>
      </w:r>
      <w:r w:rsidR="00334A81" w:rsidRPr="00E83BB7">
        <w:rPr>
          <w:rFonts w:cstheme="minorHAnsi"/>
          <w:sz w:val="24"/>
          <w:szCs w:val="24"/>
          <w:u w:color="000000"/>
        </w:rPr>
        <w:t xml:space="preserve"> live </w:t>
      </w:r>
      <w:r w:rsidR="00CC5F59">
        <w:rPr>
          <w:rFonts w:cstheme="minorHAnsi"/>
          <w:sz w:val="24"/>
          <w:szCs w:val="24"/>
          <w:u w:color="000000"/>
        </w:rPr>
        <w:t>near</w:t>
      </w:r>
      <w:r w:rsidR="00DD4BA8" w:rsidRPr="00E83BB7">
        <w:rPr>
          <w:rFonts w:cstheme="minorHAnsi"/>
          <w:sz w:val="24"/>
          <w:szCs w:val="24"/>
          <w:u w:color="000000"/>
        </w:rPr>
        <w:t xml:space="preserve"> </w:t>
      </w:r>
      <w:r w:rsidR="00C12A56" w:rsidRPr="00E83BB7">
        <w:rPr>
          <w:rFonts w:cstheme="minorHAnsi"/>
          <w:sz w:val="24"/>
          <w:szCs w:val="24"/>
          <w:u w:color="000000"/>
        </w:rPr>
        <w:t>one of the</w:t>
      </w:r>
      <w:r w:rsidR="00334A81" w:rsidRPr="00E83BB7">
        <w:rPr>
          <w:rFonts w:cstheme="minorHAnsi"/>
          <w:sz w:val="24"/>
          <w:szCs w:val="24"/>
          <w:u w:color="000000"/>
        </w:rPr>
        <w:t xml:space="preserve"> largest brownfield</w:t>
      </w:r>
      <w:r w:rsidR="00C12A56" w:rsidRPr="00E83BB7">
        <w:rPr>
          <w:rFonts w:cstheme="minorHAnsi"/>
          <w:sz w:val="24"/>
          <w:szCs w:val="24"/>
          <w:u w:color="000000"/>
        </w:rPr>
        <w:t>s</w:t>
      </w:r>
      <w:r w:rsidR="00334A81" w:rsidRPr="00E83BB7">
        <w:rPr>
          <w:rFonts w:cstheme="minorHAnsi"/>
          <w:sz w:val="24"/>
          <w:szCs w:val="24"/>
          <w:u w:color="000000"/>
        </w:rPr>
        <w:t xml:space="preserve"> in Oregon</w:t>
      </w:r>
      <w:r w:rsidR="00DD4BA8" w:rsidRPr="00E83BB7">
        <w:rPr>
          <w:rFonts w:cstheme="minorHAnsi"/>
          <w:sz w:val="24"/>
          <w:szCs w:val="24"/>
          <w:u w:color="000000"/>
        </w:rPr>
        <w:t xml:space="preserve"> (the Site)</w:t>
      </w:r>
      <w:r w:rsidR="00334A81" w:rsidRPr="00E83BB7">
        <w:rPr>
          <w:rFonts w:cstheme="minorHAnsi"/>
          <w:sz w:val="24"/>
          <w:szCs w:val="24"/>
          <w:u w:color="000000"/>
        </w:rPr>
        <w:t xml:space="preserve">. </w:t>
      </w:r>
      <w:r w:rsidR="00CE479C">
        <w:rPr>
          <w:rFonts w:cstheme="minorHAnsi"/>
          <w:sz w:val="24"/>
          <w:szCs w:val="24"/>
          <w:u w:color="000000"/>
        </w:rPr>
        <w:t>They are also exposed to</w:t>
      </w:r>
      <w:r w:rsidR="00C12A56" w:rsidRPr="00C00AB4">
        <w:rPr>
          <w:rFonts w:cstheme="minorHAnsi"/>
          <w:sz w:val="24"/>
          <w:szCs w:val="24"/>
          <w:u w:color="000000"/>
        </w:rPr>
        <w:t xml:space="preserve"> a high number of additional </w:t>
      </w:r>
      <w:r w:rsidR="00CE479C">
        <w:rPr>
          <w:rFonts w:cstheme="minorHAnsi"/>
          <w:sz w:val="24"/>
          <w:szCs w:val="24"/>
          <w:u w:color="000000"/>
        </w:rPr>
        <w:t>pollution</w:t>
      </w:r>
      <w:r w:rsidR="00C12A56" w:rsidRPr="00C00AB4">
        <w:rPr>
          <w:rFonts w:cstheme="minorHAnsi"/>
          <w:sz w:val="24"/>
          <w:szCs w:val="24"/>
          <w:u w:color="000000"/>
        </w:rPr>
        <w:t xml:space="preserve"> </w:t>
      </w:r>
      <w:r w:rsidR="008F6A9D" w:rsidRPr="00C00AB4">
        <w:rPr>
          <w:rFonts w:cstheme="minorHAnsi"/>
          <w:sz w:val="24"/>
          <w:szCs w:val="24"/>
          <w:u w:color="000000"/>
        </w:rPr>
        <w:t>sources</w:t>
      </w:r>
      <w:r w:rsidR="00C12A56" w:rsidRPr="00C00AB4">
        <w:rPr>
          <w:rFonts w:cstheme="minorHAnsi"/>
          <w:sz w:val="24"/>
          <w:szCs w:val="24"/>
          <w:u w:color="000000"/>
        </w:rPr>
        <w:t xml:space="preserve">, buildings </w:t>
      </w:r>
      <w:r w:rsidR="00037CEA">
        <w:rPr>
          <w:rFonts w:cstheme="minorHAnsi"/>
          <w:sz w:val="24"/>
          <w:szCs w:val="24"/>
          <w:u w:color="000000"/>
        </w:rPr>
        <w:t xml:space="preserve">built before 1980 that </w:t>
      </w:r>
      <w:r w:rsidR="00CE479C">
        <w:rPr>
          <w:rFonts w:cstheme="minorHAnsi"/>
          <w:sz w:val="24"/>
          <w:szCs w:val="24"/>
          <w:u w:color="000000"/>
        </w:rPr>
        <w:t>may</w:t>
      </w:r>
      <w:r w:rsidR="00037CEA">
        <w:rPr>
          <w:rFonts w:cstheme="minorHAnsi"/>
          <w:sz w:val="24"/>
          <w:szCs w:val="24"/>
          <w:u w:color="000000"/>
        </w:rPr>
        <w:t xml:space="preserve"> have</w:t>
      </w:r>
      <w:r w:rsidR="00C703D4">
        <w:rPr>
          <w:rFonts w:cstheme="minorHAnsi"/>
          <w:sz w:val="24"/>
          <w:szCs w:val="24"/>
          <w:u w:color="000000"/>
        </w:rPr>
        <w:t xml:space="preserve"> asbestos and</w:t>
      </w:r>
      <w:r w:rsidR="00C12A56" w:rsidRPr="00C00AB4">
        <w:rPr>
          <w:rFonts w:cstheme="minorHAnsi"/>
          <w:sz w:val="24"/>
          <w:szCs w:val="24"/>
          <w:u w:color="000000"/>
        </w:rPr>
        <w:t xml:space="preserve"> lead paint, and </w:t>
      </w:r>
      <w:r w:rsidR="008975E4">
        <w:rPr>
          <w:rFonts w:cstheme="minorHAnsi"/>
          <w:sz w:val="24"/>
          <w:szCs w:val="24"/>
          <w:u w:color="000000"/>
        </w:rPr>
        <w:t>a busy highway</w:t>
      </w:r>
      <w:r w:rsidR="00037CEA">
        <w:rPr>
          <w:rFonts w:cstheme="minorHAnsi"/>
          <w:sz w:val="24"/>
          <w:szCs w:val="24"/>
          <w:u w:color="000000"/>
        </w:rPr>
        <w:t>/</w:t>
      </w:r>
      <w:r w:rsidR="00CE479C">
        <w:rPr>
          <w:rFonts w:cstheme="minorHAnsi"/>
          <w:sz w:val="24"/>
          <w:szCs w:val="24"/>
          <w:u w:color="000000"/>
        </w:rPr>
        <w:t xml:space="preserve"> </w:t>
      </w:r>
      <w:r w:rsidR="00037CEA">
        <w:rPr>
          <w:rFonts w:cstheme="minorHAnsi"/>
          <w:sz w:val="24"/>
          <w:szCs w:val="24"/>
          <w:u w:color="000000"/>
        </w:rPr>
        <w:t>railroad</w:t>
      </w:r>
      <w:r w:rsidR="00CE479C">
        <w:rPr>
          <w:rFonts w:cstheme="minorHAnsi"/>
          <w:sz w:val="24"/>
          <w:szCs w:val="24"/>
          <w:u w:color="000000"/>
        </w:rPr>
        <w:t>.</w:t>
      </w:r>
      <w:r w:rsidR="00C12A56" w:rsidRPr="00C00AB4">
        <w:rPr>
          <w:rFonts w:cstheme="minorHAnsi"/>
          <w:sz w:val="24"/>
          <w:szCs w:val="24"/>
          <w:u w:color="000000"/>
        </w:rPr>
        <w:t xml:space="preserve"> </w:t>
      </w:r>
      <w:r w:rsidR="008E272A">
        <w:rPr>
          <w:rFonts w:cstheme="minorHAnsi"/>
          <w:sz w:val="24"/>
          <w:szCs w:val="24"/>
          <w:u w:color="000000"/>
        </w:rPr>
        <w:t>Target Area residents</w:t>
      </w:r>
      <w:r w:rsidR="00C12A56" w:rsidRPr="00C00AB4">
        <w:rPr>
          <w:rFonts w:cstheme="minorHAnsi"/>
          <w:sz w:val="24"/>
          <w:szCs w:val="24"/>
          <w:u w:color="000000"/>
        </w:rPr>
        <w:t xml:space="preserve"> disproportionately share the negative environmental effects of</w:t>
      </w:r>
      <w:r w:rsidR="00A307AB">
        <w:rPr>
          <w:rFonts w:cstheme="minorHAnsi"/>
          <w:sz w:val="24"/>
          <w:szCs w:val="24"/>
          <w:u w:color="000000"/>
        </w:rPr>
        <w:t xml:space="preserve"> these</w:t>
      </w:r>
      <w:r w:rsidR="00C12A56" w:rsidRPr="00C00AB4">
        <w:rPr>
          <w:rFonts w:cstheme="minorHAnsi"/>
          <w:sz w:val="24"/>
          <w:szCs w:val="24"/>
          <w:u w:color="000000"/>
        </w:rPr>
        <w:t xml:space="preserve"> operations and environmental and land use policies.</w:t>
      </w:r>
      <w:r w:rsidR="00C828E2" w:rsidRPr="00C00AB4">
        <w:rPr>
          <w:rFonts w:cstheme="minorHAnsi"/>
          <w:sz w:val="24"/>
          <w:szCs w:val="24"/>
          <w:u w:color="000000"/>
        </w:rPr>
        <w:t xml:space="preserve"> </w:t>
      </w:r>
      <w:r w:rsidR="00B02219">
        <w:rPr>
          <w:rFonts w:cstheme="minorHAnsi"/>
          <w:sz w:val="24"/>
          <w:szCs w:val="24"/>
          <w:u w:color="000000"/>
        </w:rPr>
        <w:t xml:space="preserve">The US </w:t>
      </w:r>
      <w:r w:rsidR="00C74ED5">
        <w:rPr>
          <w:rFonts w:cstheme="minorHAnsi"/>
          <w:sz w:val="24"/>
          <w:szCs w:val="24"/>
          <w:u w:color="000000"/>
        </w:rPr>
        <w:t>Agency for Toxic Substances and Disease Registry</w:t>
      </w:r>
      <w:r w:rsidR="008D0308">
        <w:rPr>
          <w:rFonts w:cstheme="minorHAnsi"/>
          <w:sz w:val="24"/>
          <w:szCs w:val="24"/>
          <w:u w:color="000000"/>
        </w:rPr>
        <w:t xml:space="preserve"> (ATSDR)</w:t>
      </w:r>
      <w:r w:rsidR="008D0308" w:rsidRPr="00E83BB7">
        <w:rPr>
          <w:rFonts w:cstheme="minorHAnsi"/>
          <w:sz w:val="24"/>
          <w:szCs w:val="24"/>
          <w:u w:color="000000"/>
        </w:rPr>
        <w:t>11</w:t>
      </w:r>
      <w:r w:rsidR="00B02219">
        <w:rPr>
          <w:rFonts w:cstheme="minorHAnsi"/>
          <w:sz w:val="24"/>
          <w:szCs w:val="24"/>
          <w:u w:color="000000"/>
        </w:rPr>
        <w:t xml:space="preserve"> rank</w:t>
      </w:r>
      <w:r w:rsidR="00C74ED5">
        <w:rPr>
          <w:rFonts w:cstheme="minorHAnsi"/>
          <w:sz w:val="24"/>
          <w:szCs w:val="24"/>
          <w:u w:color="000000"/>
        </w:rPr>
        <w:t>s</w:t>
      </w:r>
      <w:r w:rsidR="00B02219">
        <w:rPr>
          <w:rFonts w:cstheme="minorHAnsi"/>
          <w:sz w:val="24"/>
          <w:szCs w:val="24"/>
          <w:u w:color="000000"/>
        </w:rPr>
        <w:t xml:space="preserve"> the </w:t>
      </w:r>
      <w:r w:rsidR="00CB0CCA">
        <w:rPr>
          <w:rFonts w:cstheme="minorHAnsi"/>
          <w:sz w:val="24"/>
          <w:szCs w:val="24"/>
          <w:u w:color="000000"/>
        </w:rPr>
        <w:t xml:space="preserve">environmental burden as “High” for the </w:t>
      </w:r>
      <w:r w:rsidR="00B02219">
        <w:rPr>
          <w:rFonts w:cstheme="minorHAnsi"/>
          <w:sz w:val="24"/>
          <w:szCs w:val="24"/>
          <w:u w:color="000000"/>
        </w:rPr>
        <w:t xml:space="preserve">census tract </w:t>
      </w:r>
      <w:r w:rsidR="00037CEA">
        <w:rPr>
          <w:rFonts w:cstheme="minorHAnsi"/>
          <w:sz w:val="24"/>
          <w:szCs w:val="24"/>
          <w:u w:color="000000"/>
        </w:rPr>
        <w:t xml:space="preserve">where the Site is located </w:t>
      </w:r>
      <w:r w:rsidR="00B02219">
        <w:rPr>
          <w:rFonts w:cstheme="minorHAnsi"/>
          <w:sz w:val="24"/>
          <w:szCs w:val="24"/>
          <w:u w:color="000000"/>
        </w:rPr>
        <w:t>and adjacent tracts</w:t>
      </w:r>
      <w:r w:rsidR="00110FC2">
        <w:rPr>
          <w:rFonts w:cstheme="minorHAnsi"/>
          <w:sz w:val="24"/>
          <w:szCs w:val="24"/>
          <w:u w:color="000000"/>
        </w:rPr>
        <w:t xml:space="preserve">, </w:t>
      </w:r>
      <w:r w:rsidR="00D0325C">
        <w:rPr>
          <w:rFonts w:cstheme="minorHAnsi"/>
          <w:sz w:val="24"/>
          <w:szCs w:val="24"/>
          <w:u w:color="000000"/>
        </w:rPr>
        <w:t>based on multiple</w:t>
      </w:r>
      <w:r w:rsidR="009D612C">
        <w:rPr>
          <w:rFonts w:cstheme="minorHAnsi"/>
          <w:sz w:val="24"/>
          <w:szCs w:val="24"/>
          <w:u w:color="000000"/>
        </w:rPr>
        <w:t xml:space="preserve"> risk factors</w:t>
      </w:r>
      <w:r w:rsidR="008A4437">
        <w:rPr>
          <w:rFonts w:cstheme="minorHAnsi"/>
          <w:sz w:val="24"/>
          <w:szCs w:val="24"/>
          <w:u w:color="000000"/>
        </w:rPr>
        <w:t>. T</w:t>
      </w:r>
      <w:r w:rsidR="009D612C">
        <w:rPr>
          <w:rFonts w:cstheme="minorHAnsi"/>
          <w:sz w:val="24"/>
          <w:szCs w:val="24"/>
          <w:u w:color="000000"/>
        </w:rPr>
        <w:t>able 3</w:t>
      </w:r>
      <w:r w:rsidR="008A4437">
        <w:rPr>
          <w:rFonts w:cstheme="minorHAnsi"/>
          <w:sz w:val="24"/>
          <w:szCs w:val="24"/>
          <w:u w:color="000000"/>
        </w:rPr>
        <w:t xml:space="preserve"> shows t</w:t>
      </w:r>
      <w:r w:rsidR="00484BE6">
        <w:rPr>
          <w:rFonts w:cstheme="minorHAnsi"/>
          <w:sz w:val="24"/>
          <w:szCs w:val="24"/>
          <w:u w:color="000000"/>
        </w:rPr>
        <w:t xml:space="preserve">he Site’s census tract is in the </w:t>
      </w:r>
      <w:r w:rsidR="00D205E9">
        <w:rPr>
          <w:rFonts w:cstheme="minorHAnsi"/>
          <w:sz w:val="24"/>
          <w:szCs w:val="24"/>
          <w:u w:color="000000"/>
        </w:rPr>
        <w:t xml:space="preserve">worst </w:t>
      </w:r>
      <w:r w:rsidR="00C27023">
        <w:rPr>
          <w:rFonts w:cstheme="minorHAnsi"/>
          <w:sz w:val="24"/>
          <w:szCs w:val="24"/>
          <w:u w:color="000000"/>
        </w:rPr>
        <w:t>3</w:t>
      </w:r>
      <w:r w:rsidR="00D205E9" w:rsidRPr="00C55250">
        <w:rPr>
          <w:rFonts w:cstheme="minorHAnsi"/>
          <w:sz w:val="24"/>
          <w:szCs w:val="24"/>
          <w:u w:color="000000"/>
        </w:rPr>
        <w:t>%</w:t>
      </w:r>
      <w:r w:rsidR="00C27023" w:rsidRPr="00C55250">
        <w:rPr>
          <w:rFonts w:cstheme="minorHAnsi"/>
          <w:sz w:val="24"/>
          <w:szCs w:val="24"/>
          <w:u w:color="000000"/>
        </w:rPr>
        <w:t xml:space="preserve"> to 26%</w:t>
      </w:r>
      <w:r w:rsidR="00D205E9" w:rsidRPr="00C55250">
        <w:rPr>
          <w:rFonts w:cstheme="minorHAnsi"/>
          <w:sz w:val="24"/>
          <w:szCs w:val="24"/>
          <w:u w:color="000000"/>
        </w:rPr>
        <w:t xml:space="preserve"> of US census tracts</w:t>
      </w:r>
      <w:r w:rsidR="00C27023" w:rsidRPr="00C55250">
        <w:rPr>
          <w:rFonts w:cstheme="minorHAnsi"/>
          <w:sz w:val="24"/>
          <w:szCs w:val="24"/>
          <w:u w:color="000000"/>
        </w:rPr>
        <w:t xml:space="preserve"> for exposure to</w:t>
      </w:r>
      <w:r w:rsidR="002C15C0">
        <w:rPr>
          <w:rFonts w:cstheme="minorHAnsi"/>
          <w:sz w:val="24"/>
          <w:szCs w:val="24"/>
          <w:u w:color="000000"/>
        </w:rPr>
        <w:t xml:space="preserve"> pollution</w:t>
      </w:r>
      <w:r w:rsidR="00C27023" w:rsidRPr="00C55250">
        <w:rPr>
          <w:rFonts w:cstheme="minorHAnsi"/>
          <w:sz w:val="24"/>
          <w:szCs w:val="24"/>
          <w:u w:color="000000"/>
        </w:rPr>
        <w:t>.</w:t>
      </w:r>
      <w:r w:rsidR="00E83BB7">
        <w:rPr>
          <w:rFonts w:cstheme="minorHAnsi"/>
          <w:sz w:val="24"/>
          <w:szCs w:val="24"/>
          <w:u w:color="000000"/>
        </w:rPr>
        <w:t xml:space="preserve"> </w:t>
      </w:r>
      <w:r w:rsidR="00FA5219">
        <w:rPr>
          <w:rFonts w:cstheme="minorHAnsi"/>
          <w:sz w:val="24"/>
          <w:szCs w:val="24"/>
          <w:u w:color="000000"/>
        </w:rPr>
        <w:t>T</w:t>
      </w:r>
      <w:r w:rsidR="003A5C54">
        <w:rPr>
          <w:rFonts w:cstheme="minorHAnsi"/>
          <w:sz w:val="24"/>
          <w:szCs w:val="24"/>
          <w:u w:color="000000"/>
        </w:rPr>
        <w:t xml:space="preserve">he Target Area </w:t>
      </w:r>
      <w:r w:rsidR="00FA5219">
        <w:rPr>
          <w:rFonts w:cstheme="minorHAnsi"/>
          <w:sz w:val="24"/>
          <w:szCs w:val="24"/>
          <w:u w:color="000000"/>
        </w:rPr>
        <w:t xml:space="preserve">also </w:t>
      </w:r>
      <w:r w:rsidR="00FA5219" w:rsidRPr="00E83BB7">
        <w:rPr>
          <w:rFonts w:cstheme="minorHAnsi"/>
          <w:sz w:val="24"/>
          <w:szCs w:val="24"/>
          <w:u w:color="000000"/>
        </w:rPr>
        <w:t>experiences a disproportionate economic burden</w:t>
      </w:r>
      <w:r w:rsidR="00BF0759">
        <w:rPr>
          <w:rFonts w:cstheme="minorHAnsi"/>
          <w:sz w:val="24"/>
          <w:szCs w:val="24"/>
          <w:u w:color="000000"/>
        </w:rPr>
        <w:t xml:space="preserve">. The area </w:t>
      </w:r>
      <w:r w:rsidR="003A5C54">
        <w:rPr>
          <w:rFonts w:cstheme="minorHAnsi"/>
          <w:sz w:val="24"/>
          <w:szCs w:val="24"/>
          <w:u w:color="000000"/>
        </w:rPr>
        <w:t>has</w:t>
      </w:r>
      <w:r w:rsidR="00E83BB7" w:rsidRPr="00E83BB7">
        <w:rPr>
          <w:rFonts w:cstheme="minorHAnsi"/>
          <w:sz w:val="24"/>
          <w:szCs w:val="24"/>
          <w:u w:color="000000"/>
        </w:rPr>
        <w:t xml:space="preserve"> </w:t>
      </w:r>
      <w:r w:rsidR="00094297">
        <w:rPr>
          <w:rFonts w:cstheme="minorHAnsi"/>
          <w:sz w:val="24"/>
          <w:szCs w:val="24"/>
          <w:u w:color="000000"/>
        </w:rPr>
        <w:t>more households living in poverty</w:t>
      </w:r>
      <w:r w:rsidR="00E83BB7" w:rsidRPr="00E83BB7">
        <w:rPr>
          <w:rFonts w:cstheme="minorHAnsi"/>
          <w:sz w:val="24"/>
          <w:szCs w:val="24"/>
          <w:u w:color="000000"/>
        </w:rPr>
        <w:t xml:space="preserve"> than over half of U.S. census tract</w:t>
      </w:r>
      <w:r w:rsidR="00C7101F">
        <w:rPr>
          <w:rFonts w:cstheme="minorHAnsi"/>
          <w:sz w:val="24"/>
          <w:szCs w:val="24"/>
          <w:u w:color="000000"/>
        </w:rPr>
        <w:t>s</w:t>
      </w:r>
      <w:r w:rsidR="00BF0759">
        <w:rPr>
          <w:rFonts w:cstheme="minorHAnsi"/>
          <w:sz w:val="24"/>
          <w:szCs w:val="24"/>
          <w:u w:color="000000"/>
        </w:rPr>
        <w:t xml:space="preserve"> and has a higher housing cost burden (ratio of income to housing cost) than 67</w:t>
      </w:r>
      <w:r w:rsidR="00CC5F59">
        <w:rPr>
          <w:rFonts w:cstheme="minorHAnsi"/>
          <w:sz w:val="24"/>
          <w:szCs w:val="24"/>
          <w:u w:color="000000"/>
        </w:rPr>
        <w:t>% of US census tracts.</w:t>
      </w:r>
    </w:p>
    <w:p w14:paraId="7E9A23B7" w14:textId="68D365FB" w:rsidR="00036280" w:rsidRPr="00C55250" w:rsidRDefault="00036280" w:rsidP="00B277DF">
      <w:pPr>
        <w:widowControl w:val="0"/>
        <w:spacing w:before="40" w:after="0" w:line="240" w:lineRule="exact"/>
        <w:rPr>
          <w:rFonts w:cstheme="minorHAnsi"/>
          <w:sz w:val="24"/>
          <w:szCs w:val="24"/>
          <w:u w:color="000000"/>
        </w:rPr>
      </w:pPr>
      <w:r w:rsidRPr="00C55250">
        <w:rPr>
          <w:rFonts w:cstheme="minorHAnsi"/>
          <w:sz w:val="24"/>
          <w:szCs w:val="24"/>
          <w:u w:color="000000"/>
        </w:rPr>
        <w:t xml:space="preserve">While in operation, the </w:t>
      </w:r>
      <w:r w:rsidR="00C55250">
        <w:rPr>
          <w:rFonts w:cstheme="minorHAnsi"/>
          <w:sz w:val="24"/>
          <w:szCs w:val="24"/>
          <w:u w:color="000000"/>
        </w:rPr>
        <w:t>Blue Heron M</w:t>
      </w:r>
      <w:r w:rsidR="00334A81" w:rsidRPr="00C55250">
        <w:rPr>
          <w:rFonts w:cstheme="minorHAnsi"/>
          <w:sz w:val="24"/>
          <w:szCs w:val="24"/>
          <w:u w:color="000000"/>
        </w:rPr>
        <w:t>ill</w:t>
      </w:r>
      <w:r w:rsidRPr="00C55250">
        <w:rPr>
          <w:rFonts w:cstheme="minorHAnsi"/>
          <w:sz w:val="24"/>
          <w:szCs w:val="24"/>
          <w:u w:color="000000"/>
        </w:rPr>
        <w:t xml:space="preserve"> was identified by DEQ as a major source of hazardous pollutants</w:t>
      </w:r>
      <w:r w:rsidR="00035FC7">
        <w:rPr>
          <w:rFonts w:cstheme="minorHAnsi"/>
          <w:sz w:val="24"/>
          <w:szCs w:val="24"/>
          <w:u w:color="000000"/>
        </w:rPr>
        <w:t xml:space="preserve"> </w:t>
      </w:r>
      <w:r w:rsidRPr="00C55250">
        <w:rPr>
          <w:rFonts w:cstheme="minorHAnsi"/>
          <w:sz w:val="24"/>
          <w:szCs w:val="24"/>
          <w:u w:color="000000"/>
        </w:rPr>
        <w:t xml:space="preserve">and was identified for multiple </w:t>
      </w:r>
      <w:r w:rsidRPr="00C55250">
        <w:rPr>
          <w:rFonts w:cstheme="minorHAnsi"/>
          <w:sz w:val="24"/>
          <w:szCs w:val="24"/>
        </w:rPr>
        <w:t xml:space="preserve">violations related to its National Pollution Discharge Elimination System and Resource Conservation and Recovery Act </w:t>
      </w:r>
      <w:r w:rsidR="00334A81" w:rsidRPr="00C55250">
        <w:rPr>
          <w:rFonts w:cstheme="minorHAnsi"/>
          <w:sz w:val="24"/>
          <w:szCs w:val="24"/>
        </w:rPr>
        <w:t xml:space="preserve">(RCRA) </w:t>
      </w:r>
      <w:r w:rsidRPr="00C55250">
        <w:rPr>
          <w:rFonts w:cstheme="minorHAnsi"/>
          <w:sz w:val="24"/>
          <w:szCs w:val="24"/>
        </w:rPr>
        <w:t>permits due to releases of contaminants</w:t>
      </w:r>
      <w:r w:rsidR="001D5959" w:rsidRPr="00C55250">
        <w:rPr>
          <w:rFonts w:cstheme="minorHAnsi"/>
          <w:sz w:val="24"/>
          <w:szCs w:val="24"/>
        </w:rPr>
        <w:t xml:space="preserve"> in wastewater discharges</w:t>
      </w:r>
      <w:r w:rsidRPr="00C55250">
        <w:rPr>
          <w:rFonts w:cstheme="minorHAnsi"/>
          <w:sz w:val="24"/>
          <w:szCs w:val="24"/>
        </w:rPr>
        <w:t xml:space="preserve"> and exceedances of limits on hazardous materials generation and storage. </w:t>
      </w:r>
      <w:r w:rsidR="00334A81" w:rsidRPr="00C55250">
        <w:rPr>
          <w:rFonts w:cstheme="minorHAnsi"/>
          <w:sz w:val="24"/>
          <w:szCs w:val="24"/>
        </w:rPr>
        <w:t xml:space="preserve">The Site’s past RCRA reporting shows that ignitable and corrosive waste, arsenic, chromium, lead, mercury, solvents, and chloroform were handled on the Site. </w:t>
      </w:r>
    </w:p>
    <w:p w14:paraId="783CA553" w14:textId="36388F97" w:rsidR="00F417B1" w:rsidRPr="000B67FD" w:rsidRDefault="00F417B1" w:rsidP="00F417B1">
      <w:pPr>
        <w:widowControl w:val="0"/>
        <w:spacing w:before="60" w:after="0" w:line="240" w:lineRule="exact"/>
        <w:rPr>
          <w:rFonts w:cstheme="minorHAnsi"/>
          <w:sz w:val="24"/>
          <w:szCs w:val="24"/>
          <w:highlight w:val="red"/>
          <w:u w:color="000000"/>
        </w:rPr>
      </w:pPr>
      <w:r w:rsidRPr="00C55250">
        <w:rPr>
          <w:rFonts w:cstheme="minorHAnsi"/>
          <w:sz w:val="24"/>
          <w:szCs w:val="24"/>
          <w:u w:color="000000"/>
        </w:rPr>
        <w:t xml:space="preserve">This grant will help the Tribe address the residual contamination left on this large brownfield that is potentially </w:t>
      </w:r>
      <w:proofErr w:type="gramStart"/>
      <w:r w:rsidRPr="00C55250">
        <w:rPr>
          <w:rFonts w:cstheme="minorHAnsi"/>
          <w:sz w:val="24"/>
          <w:szCs w:val="24"/>
          <w:u w:color="000000"/>
        </w:rPr>
        <w:t>impacting</w:t>
      </w:r>
      <w:proofErr w:type="gramEnd"/>
      <w:r w:rsidRPr="00C55250">
        <w:rPr>
          <w:rFonts w:cstheme="minorHAnsi"/>
          <w:sz w:val="24"/>
          <w:szCs w:val="24"/>
          <w:u w:color="000000"/>
        </w:rPr>
        <w:t xml:space="preserve"> </w:t>
      </w:r>
      <w:r w:rsidR="00F55A94">
        <w:rPr>
          <w:rFonts w:cstheme="minorHAnsi"/>
          <w:sz w:val="24"/>
          <w:szCs w:val="24"/>
          <w:u w:color="000000"/>
        </w:rPr>
        <w:t xml:space="preserve">an </w:t>
      </w:r>
      <w:r w:rsidR="00B21F1C">
        <w:rPr>
          <w:rFonts w:cstheme="minorHAnsi"/>
          <w:sz w:val="24"/>
          <w:szCs w:val="24"/>
          <w:u w:color="000000"/>
        </w:rPr>
        <w:t xml:space="preserve">already </w:t>
      </w:r>
      <w:r w:rsidR="00F55A94">
        <w:rPr>
          <w:rFonts w:cstheme="minorHAnsi"/>
          <w:sz w:val="24"/>
          <w:szCs w:val="24"/>
          <w:u w:color="000000"/>
        </w:rPr>
        <w:t xml:space="preserve">overburdened </w:t>
      </w:r>
      <w:r w:rsidRPr="00C55250">
        <w:rPr>
          <w:rFonts w:cstheme="minorHAnsi"/>
          <w:sz w:val="24"/>
          <w:szCs w:val="24"/>
          <w:u w:color="000000"/>
        </w:rPr>
        <w:t>communit</w:t>
      </w:r>
      <w:r w:rsidR="00F55A94">
        <w:rPr>
          <w:rFonts w:cstheme="minorHAnsi"/>
          <w:sz w:val="24"/>
          <w:szCs w:val="24"/>
          <w:u w:color="000000"/>
        </w:rPr>
        <w:t>y</w:t>
      </w:r>
      <w:r w:rsidRPr="00C55250">
        <w:rPr>
          <w:rFonts w:cstheme="minorHAnsi"/>
          <w:sz w:val="24"/>
          <w:szCs w:val="24"/>
          <w:u w:color="000000"/>
        </w:rPr>
        <w:t>.</w:t>
      </w:r>
      <w:r w:rsidR="00B21F1C">
        <w:rPr>
          <w:rFonts w:cstheme="minorHAnsi"/>
          <w:sz w:val="24"/>
          <w:szCs w:val="24"/>
          <w:u w:color="000000"/>
        </w:rPr>
        <w:t xml:space="preserve"> It will also </w:t>
      </w:r>
      <w:r w:rsidR="00402FB6">
        <w:rPr>
          <w:rFonts w:cstheme="minorHAnsi"/>
          <w:sz w:val="24"/>
          <w:szCs w:val="24"/>
          <w:u w:color="000000"/>
        </w:rPr>
        <w:t>spark economic activity bringing jobs and property value benefits to low income and housing-cost burdened residents.</w:t>
      </w:r>
    </w:p>
    <w:p w14:paraId="4B576D35" w14:textId="653F5441" w:rsidR="005E72F9" w:rsidRPr="004A3075" w:rsidRDefault="00ED7152" w:rsidP="00C828E2">
      <w:pPr>
        <w:widowControl w:val="0"/>
        <w:spacing w:before="60" w:after="60" w:line="260" w:lineRule="exact"/>
        <w:jc w:val="both"/>
        <w:rPr>
          <w:rFonts w:cstheme="minorHAnsi"/>
          <w:b/>
          <w:spacing w:val="-8"/>
          <w:sz w:val="24"/>
          <w:szCs w:val="24"/>
        </w:rPr>
      </w:pPr>
      <w:r w:rsidRPr="004A3075">
        <w:rPr>
          <w:rFonts w:cstheme="minorHAnsi"/>
          <w:b/>
          <w:spacing w:val="-8"/>
          <w:sz w:val="24"/>
          <w:szCs w:val="24"/>
          <w:u w:val="single"/>
        </w:rPr>
        <w:t>Community Engagement</w:t>
      </w:r>
      <w:proofErr w:type="gramStart"/>
      <w:r w:rsidR="00920447" w:rsidRPr="004A3075">
        <w:rPr>
          <w:rFonts w:cstheme="minorHAnsi"/>
          <w:b/>
          <w:spacing w:val="-8"/>
          <w:sz w:val="24"/>
          <w:szCs w:val="24"/>
        </w:rPr>
        <w:t xml:space="preserve">: </w:t>
      </w:r>
      <w:r w:rsidR="00311382" w:rsidRPr="004A3075">
        <w:rPr>
          <w:rFonts w:cstheme="minorHAnsi"/>
          <w:b/>
          <w:spacing w:val="-8"/>
          <w:sz w:val="24"/>
          <w:szCs w:val="24"/>
        </w:rPr>
        <w:t xml:space="preserve"> </w:t>
      </w:r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>2</w:t>
      </w:r>
      <w:proofErr w:type="gramEnd"/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C343F0" w:rsidRPr="004A3075">
        <w:rPr>
          <w:rFonts w:cstheme="minorHAnsi"/>
          <w:b/>
          <w:spacing w:val="-8"/>
          <w:sz w:val="24"/>
          <w:szCs w:val="24"/>
          <w:u w:val="single"/>
        </w:rPr>
        <w:t>e</w:t>
      </w:r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 xml:space="preserve">. </w:t>
      </w:r>
      <w:r w:rsidR="007B7C3D" w:rsidRPr="004A3075">
        <w:rPr>
          <w:rFonts w:cstheme="minorHAnsi"/>
          <w:b/>
          <w:spacing w:val="-8"/>
          <w:sz w:val="24"/>
          <w:szCs w:val="24"/>
          <w:u w:val="single"/>
        </w:rPr>
        <w:t xml:space="preserve">Project </w:t>
      </w:r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>Involvement</w:t>
      </w:r>
      <w:r w:rsidR="00311382" w:rsidRPr="004A3075">
        <w:rPr>
          <w:rFonts w:cstheme="minorHAnsi"/>
          <w:b/>
          <w:spacing w:val="-8"/>
          <w:sz w:val="24"/>
          <w:szCs w:val="24"/>
          <w:u w:val="single"/>
        </w:rPr>
        <w:t xml:space="preserve"> and </w:t>
      </w:r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>2.</w:t>
      </w:r>
      <w:r w:rsidR="00C343F0" w:rsidRPr="004A3075">
        <w:rPr>
          <w:rFonts w:cstheme="minorHAnsi"/>
          <w:b/>
          <w:spacing w:val="-8"/>
          <w:sz w:val="24"/>
          <w:szCs w:val="24"/>
          <w:u w:val="single"/>
        </w:rPr>
        <w:t>f</w:t>
      </w:r>
      <w:r w:rsidR="005E72F9" w:rsidRPr="004A3075">
        <w:rPr>
          <w:rFonts w:cstheme="minorHAnsi"/>
          <w:b/>
          <w:spacing w:val="-8"/>
          <w:sz w:val="24"/>
          <w:szCs w:val="24"/>
          <w:u w:val="single"/>
        </w:rPr>
        <w:t>. Project Roles</w:t>
      </w:r>
      <w:r w:rsidR="00311382" w:rsidRPr="004A3075">
        <w:rPr>
          <w:rFonts w:cstheme="minorHAnsi"/>
          <w:b/>
          <w:spacing w:val="-8"/>
          <w:sz w:val="24"/>
          <w:szCs w:val="24"/>
        </w:rPr>
        <w:t>:</w:t>
      </w:r>
      <w:r w:rsidR="00A16D89" w:rsidRPr="004A3075">
        <w:rPr>
          <w:rFonts w:cstheme="minorHAnsi"/>
          <w:b/>
          <w:spacing w:val="-8"/>
          <w:sz w:val="24"/>
          <w:szCs w:val="24"/>
        </w:rPr>
        <w:t xml:space="preserve"> </w:t>
      </w:r>
    </w:p>
    <w:tbl>
      <w:tblPr>
        <w:tblW w:w="104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2880"/>
        <w:gridCol w:w="4410"/>
      </w:tblGrid>
      <w:tr w:rsidR="004F022D" w:rsidRPr="004A3075" w14:paraId="486A8078" w14:textId="29F329A1" w:rsidTr="003C06DE">
        <w:trPr>
          <w:trHeight w:val="386"/>
        </w:trPr>
        <w:tc>
          <w:tcPr>
            <w:tcW w:w="3150" w:type="dxa"/>
            <w:tcBorders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93BC4F" w14:textId="3E0685BF" w:rsidR="004F022D" w:rsidRPr="004A3075" w:rsidRDefault="004F022D" w:rsidP="00343A09">
            <w:pPr>
              <w:pStyle w:val="TableParagraph"/>
              <w:spacing w:line="240" w:lineRule="exact"/>
              <w:ind w:lef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sz w:val="20"/>
                <w:szCs w:val="20"/>
              </w:rPr>
              <w:t>Organization and Contact</w:t>
            </w: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1A8EBCB" w14:textId="44754B0A" w:rsidR="004F022D" w:rsidRPr="004A3075" w:rsidRDefault="004F022D" w:rsidP="00343A09">
            <w:pPr>
              <w:pStyle w:val="TableParagraph"/>
              <w:spacing w:line="240" w:lineRule="exact"/>
              <w:ind w:lef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sz w:val="20"/>
                <w:szCs w:val="20"/>
              </w:rPr>
              <w:t>Organization Mission</w:t>
            </w:r>
          </w:p>
        </w:tc>
        <w:tc>
          <w:tcPr>
            <w:tcW w:w="4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E2BCF08" w14:textId="7DD0525E" w:rsidR="004F022D" w:rsidRPr="004A3075" w:rsidRDefault="004F022D" w:rsidP="00343A09">
            <w:pPr>
              <w:pStyle w:val="TableParagraph"/>
              <w:spacing w:line="240" w:lineRule="exact"/>
              <w:ind w:left="14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sz w:val="20"/>
                <w:szCs w:val="20"/>
              </w:rPr>
              <w:t>Specific Project Involvement or Assistance</w:t>
            </w:r>
          </w:p>
        </w:tc>
      </w:tr>
      <w:tr w:rsidR="004F022D" w:rsidRPr="004A3075" w14:paraId="3EE04EFC" w14:textId="640E6900" w:rsidTr="003C06DE">
        <w:trPr>
          <w:trHeight w:val="277"/>
        </w:trPr>
        <w:tc>
          <w:tcPr>
            <w:tcW w:w="3150" w:type="dxa"/>
            <w:vAlign w:val="center"/>
          </w:tcPr>
          <w:p w14:paraId="147B5FA3" w14:textId="1E1C81E0" w:rsidR="004F022D" w:rsidRPr="004A3075" w:rsidRDefault="004F022D" w:rsidP="00C70A6E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Citizen Involvement Committee of Oregon City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71F4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D71F4">
              <w:rPr>
                <w:rFonts w:asciiTheme="minorHAnsi" w:hAnsiTheme="minorHAnsi" w:cstheme="minorHAnsi"/>
                <w:sz w:val="20"/>
                <w:szCs w:val="20"/>
              </w:rPr>
              <w:t>Jared Lyman</w:t>
            </w:r>
            <w:r w:rsidR="0004528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4A3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503-496-15</w:t>
            </w:r>
            <w:r w:rsidR="00AD71F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47</w:t>
            </w:r>
            <w:r w:rsidR="0004528B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</w:t>
            </w:r>
            <w:r w:rsidR="00AD71F4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C70A6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communications@orcity.org</w:t>
            </w:r>
          </w:p>
        </w:tc>
        <w:tc>
          <w:tcPr>
            <w:tcW w:w="2880" w:type="dxa"/>
            <w:vAlign w:val="center"/>
          </w:tcPr>
          <w:p w14:paraId="04DD750E" w14:textId="45EAC9A8" w:rsidR="004F022D" w:rsidRPr="004A3075" w:rsidRDefault="00AE3246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AE3246">
              <w:rPr>
                <w:rFonts w:cstheme="minorHAnsi"/>
                <w:sz w:val="20"/>
                <w:szCs w:val="20"/>
              </w:rPr>
              <w:t xml:space="preserve">oosting public participation in local government by providing information, training, and communication channels </w:t>
            </w:r>
            <w:r w:rsidR="00C70A6E">
              <w:rPr>
                <w:rFonts w:cstheme="minorHAnsi"/>
                <w:sz w:val="20"/>
                <w:szCs w:val="20"/>
              </w:rPr>
              <w:t>to</w:t>
            </w:r>
            <w:r w:rsidRPr="00AE3246">
              <w:rPr>
                <w:rFonts w:cstheme="minorHAnsi"/>
                <w:sz w:val="20"/>
                <w:szCs w:val="20"/>
              </w:rPr>
              <w:t xml:space="preserve"> the City Commission</w:t>
            </w:r>
            <w:r w:rsidR="000D6DC1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center"/>
          </w:tcPr>
          <w:p w14:paraId="4DF357D7" w14:textId="4FAA03BF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eastAsia="Times New Roman" w:cstheme="minorHAnsi"/>
                <w:sz w:val="20"/>
                <w:szCs w:val="20"/>
              </w:rPr>
              <w:t xml:space="preserve">CIC is made up of representatives of Oregon City’s neighborhood associations. CIC will share </w:t>
            </w:r>
            <w:r w:rsidRPr="004A3075">
              <w:rPr>
                <w:rFonts w:cstheme="minorHAnsi"/>
                <w:sz w:val="20"/>
                <w:szCs w:val="20"/>
              </w:rPr>
              <w:t>project information through their established communication networks.</w:t>
            </w:r>
          </w:p>
        </w:tc>
      </w:tr>
      <w:tr w:rsidR="004F022D" w:rsidRPr="004A3075" w14:paraId="48CE19A4" w14:textId="61A1073D" w:rsidTr="003C06DE">
        <w:trPr>
          <w:trHeight w:val="962"/>
        </w:trPr>
        <w:tc>
          <w:tcPr>
            <w:tcW w:w="3150" w:type="dxa"/>
            <w:vAlign w:val="center"/>
          </w:tcPr>
          <w:p w14:paraId="091B180E" w14:textId="628C9776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cstheme="minorHAnsi"/>
                <w:b/>
                <w:bCs/>
                <w:sz w:val="20"/>
                <w:szCs w:val="20"/>
              </w:rPr>
              <w:t>Downtown Oregon City Association</w:t>
            </w:r>
            <w:r w:rsidRPr="004A3075">
              <w:rPr>
                <w:rFonts w:eastAsia="Times New Roman" w:cstheme="minorHAnsi"/>
                <w:sz w:val="20"/>
                <w:szCs w:val="20"/>
              </w:rPr>
              <w:t xml:space="preserve">   </w:t>
            </w:r>
            <w:r w:rsidR="00B84830">
              <w:rPr>
                <w:rFonts w:eastAsia="Times New Roman" w:cstheme="minorHAnsi"/>
                <w:sz w:val="20"/>
                <w:szCs w:val="20"/>
              </w:rPr>
              <w:t>Juliana Allen</w:t>
            </w:r>
            <w:r w:rsidR="0004528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4A3075">
              <w:rPr>
                <w:rFonts w:eastAsia="Times New Roman" w:cstheme="minorHAnsi"/>
                <w:sz w:val="20"/>
                <w:szCs w:val="20"/>
              </w:rPr>
              <w:t>503-802-1640</w:t>
            </w:r>
            <w:r w:rsidR="0004528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hyperlink r:id="rId15" w:history="1">
              <w:proofErr w:type="spellStart"/>
              <w:r w:rsidRPr="004A3075">
                <w:rPr>
                  <w:rFonts w:eastAsia="Times New Roman" w:cstheme="minorHAnsi"/>
                  <w:sz w:val="20"/>
                  <w:szCs w:val="20"/>
                </w:rPr>
                <w:t>liz@downtown</w:t>
              </w:r>
              <w:proofErr w:type="spellEnd"/>
              <w:r w:rsidR="00AF68E7">
                <w:rPr>
                  <w:rFonts w:eastAsia="Times New Roman" w:cstheme="minorHAnsi"/>
                  <w:sz w:val="20"/>
                  <w:szCs w:val="20"/>
                </w:rPr>
                <w:t xml:space="preserve"> </w:t>
              </w:r>
              <w:r w:rsidRPr="004A3075">
                <w:rPr>
                  <w:rFonts w:eastAsia="Times New Roman" w:cstheme="minorHAnsi"/>
                  <w:sz w:val="20"/>
                  <w:szCs w:val="20"/>
                </w:rPr>
                <w:t>oregoncity.org</w:t>
              </w:r>
            </w:hyperlink>
            <w:r w:rsidRPr="004A30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745E8DDB" w14:textId="003798C9" w:rsidR="004F022D" w:rsidRPr="004A3075" w:rsidRDefault="004F022D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26A9527C" w14:textId="2E5BA483" w:rsidR="004F022D" w:rsidRPr="004A3075" w:rsidRDefault="00083CBC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T</w:t>
            </w:r>
            <w:r w:rsidRPr="00083CBC">
              <w:rPr>
                <w:rFonts w:eastAsia="Times New Roman" w:cstheme="minorHAnsi"/>
                <w:sz w:val="20"/>
                <w:szCs w:val="20"/>
              </w:rPr>
              <w:t>o build community and cultivate commerce in downtown Oregon City</w:t>
            </w:r>
            <w:r w:rsidR="00C05810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center"/>
          </w:tcPr>
          <w:p w14:paraId="72856D5F" w14:textId="485EA20F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eastAsia="Times New Roman" w:cstheme="minorHAnsi"/>
                <w:sz w:val="20"/>
                <w:szCs w:val="20"/>
              </w:rPr>
              <w:t>This non-profit organization focused on the revitalization of Oregon City’s 175-year-old downtown will assist with outreach and provide input to help align Site reuse plans with the downtown neighborhood.</w:t>
            </w:r>
          </w:p>
        </w:tc>
      </w:tr>
      <w:tr w:rsidR="004F022D" w:rsidRPr="004A3075" w14:paraId="3BB7ED19" w14:textId="7D81DB2E" w:rsidTr="003C06DE">
        <w:trPr>
          <w:trHeight w:val="872"/>
        </w:trPr>
        <w:tc>
          <w:tcPr>
            <w:tcW w:w="3150" w:type="dxa"/>
            <w:vAlign w:val="center"/>
          </w:tcPr>
          <w:p w14:paraId="2AAB196A" w14:textId="77777777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cstheme="minorHAnsi"/>
                <w:sz w:val="20"/>
                <w:szCs w:val="20"/>
              </w:rPr>
            </w:pPr>
            <w:r w:rsidRPr="004A3075">
              <w:rPr>
                <w:rFonts w:cstheme="minorHAnsi"/>
                <w:b/>
                <w:bCs/>
                <w:sz w:val="20"/>
                <w:szCs w:val="20"/>
              </w:rPr>
              <w:t>Clackamas County Public Health</w:t>
            </w:r>
            <w:r w:rsidRPr="004A30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68332DF" w14:textId="5680D889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eastAsia="Times New Roman" w:cstheme="minorHAnsi"/>
                <w:sz w:val="20"/>
                <w:szCs w:val="20"/>
              </w:rPr>
              <w:t>Erika Zoller</w:t>
            </w:r>
            <w:r w:rsidR="0004528B">
              <w:rPr>
                <w:rFonts w:eastAsia="Times New Roman" w:cstheme="minorHAnsi"/>
                <w:sz w:val="20"/>
                <w:szCs w:val="20"/>
              </w:rPr>
              <w:t xml:space="preserve">, </w:t>
            </w:r>
            <w:r w:rsidRPr="004A3075">
              <w:rPr>
                <w:rFonts w:eastAsia="Times New Roman" w:cstheme="minorHAnsi"/>
                <w:sz w:val="20"/>
                <w:szCs w:val="20"/>
              </w:rPr>
              <w:t>503-502-1243</w:t>
            </w:r>
            <w:r w:rsidR="0004528B">
              <w:rPr>
                <w:rFonts w:eastAsia="Times New Roman" w:cstheme="minorHAnsi"/>
                <w:sz w:val="20"/>
                <w:szCs w:val="20"/>
              </w:rPr>
              <w:t>,</w:t>
            </w:r>
          </w:p>
          <w:p w14:paraId="57BC1D53" w14:textId="018F4BEB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hyperlink r:id="rId16" w:history="1">
              <w:r w:rsidRPr="004A3075">
                <w:rPr>
                  <w:rStyle w:val="Hyperlink"/>
                  <w:rFonts w:eastAsia="Times New Roman" w:cstheme="minorHAnsi"/>
                  <w:color w:val="auto"/>
                  <w:sz w:val="20"/>
                  <w:szCs w:val="20"/>
                  <w:u w:val="none"/>
                </w:rPr>
                <w:t>ezoller@clackamas.us</w:t>
              </w:r>
            </w:hyperlink>
          </w:p>
        </w:tc>
        <w:tc>
          <w:tcPr>
            <w:tcW w:w="2880" w:type="dxa"/>
            <w:vAlign w:val="center"/>
          </w:tcPr>
          <w:p w14:paraId="1EF1C24E" w14:textId="29AA31BE" w:rsidR="004F022D" w:rsidRPr="004A3075" w:rsidRDefault="00E33B5C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E33B5C">
              <w:rPr>
                <w:rFonts w:eastAsia="Times New Roman" w:cstheme="minorHAnsi"/>
                <w:sz w:val="20"/>
                <w:szCs w:val="20"/>
              </w:rPr>
              <w:t>Protecting and promoting the community's health by advancing racial health equity, building partnerships, and establishing culturally responsive systems</w:t>
            </w:r>
            <w:r w:rsidR="003C06DE">
              <w:rPr>
                <w:rFonts w:eastAsia="Times New Roman" w:cstheme="minorHAnsi"/>
                <w:sz w:val="20"/>
                <w:szCs w:val="20"/>
              </w:rPr>
              <w:t>.</w:t>
            </w:r>
          </w:p>
        </w:tc>
        <w:tc>
          <w:tcPr>
            <w:tcW w:w="4410" w:type="dxa"/>
            <w:vAlign w:val="center"/>
          </w:tcPr>
          <w:p w14:paraId="3DAC652D" w14:textId="717BF3F6" w:rsidR="004F022D" w:rsidRPr="004A3075" w:rsidRDefault="004F022D" w:rsidP="004F022D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eastAsia="Times New Roman" w:cstheme="minorHAnsi"/>
                <w:sz w:val="20"/>
                <w:szCs w:val="20"/>
              </w:rPr>
              <w:t>The County Health Department will assist with outreach to sensitive populations and establishing metrics to track project outcomes.</w:t>
            </w:r>
          </w:p>
        </w:tc>
      </w:tr>
      <w:tr w:rsidR="00343A09" w:rsidRPr="004A3075" w14:paraId="1CEE8FA7" w14:textId="3178C5B1" w:rsidTr="003C06DE">
        <w:trPr>
          <w:trHeight w:val="277"/>
        </w:trPr>
        <w:tc>
          <w:tcPr>
            <w:tcW w:w="3150" w:type="dxa"/>
            <w:vAlign w:val="center"/>
          </w:tcPr>
          <w:p w14:paraId="331DE1B9" w14:textId="77777777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Willamette Riverkeeper</w:t>
            </w:r>
          </w:p>
          <w:p w14:paraId="1C693201" w14:textId="77777777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Heather King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Pr="004A307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503-223-6418</w:t>
            </w:r>
          </w:p>
          <w:p w14:paraId="0D477172" w14:textId="0AB001E5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heather@willametteriverkeeper.org</w:t>
            </w:r>
          </w:p>
        </w:tc>
        <w:tc>
          <w:tcPr>
            <w:tcW w:w="2880" w:type="dxa"/>
            <w:vAlign w:val="center"/>
          </w:tcPr>
          <w:p w14:paraId="5E9F362F" w14:textId="1D456424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protect and restore the Willamette River.</w:t>
            </w:r>
          </w:p>
        </w:tc>
        <w:tc>
          <w:tcPr>
            <w:tcW w:w="4410" w:type="dxa"/>
            <w:vAlign w:val="center"/>
          </w:tcPr>
          <w:p w14:paraId="685260BC" w14:textId="0A1F8A87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>Willamette Riverkeeper will represent environmental interests in the project.</w:t>
            </w:r>
          </w:p>
        </w:tc>
      </w:tr>
      <w:tr w:rsidR="00343A09" w:rsidRPr="004A3075" w14:paraId="4901E908" w14:textId="494BED22" w:rsidTr="003C06DE">
        <w:trPr>
          <w:trHeight w:val="277"/>
        </w:trPr>
        <w:tc>
          <w:tcPr>
            <w:tcW w:w="3150" w:type="dxa"/>
            <w:vAlign w:val="center"/>
          </w:tcPr>
          <w:p w14:paraId="05420574" w14:textId="0D9D12A2" w:rsidR="00343A09" w:rsidRPr="004A3075" w:rsidRDefault="00343A09" w:rsidP="00343A09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  <w:r w:rsidRPr="004A30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Oregon DEQ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 xml:space="preserve"> - Mark </w:t>
            </w:r>
            <w:proofErr w:type="gramStart"/>
            <w:r w:rsidRPr="004A3075">
              <w:rPr>
                <w:rFonts w:asciiTheme="minorHAnsi" w:hAnsiTheme="minorHAnsi" w:cstheme="minorHAnsi"/>
                <w:sz w:val="20"/>
                <w:szCs w:val="20"/>
              </w:rPr>
              <w:t xml:space="preserve">Pugh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>503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A3075">
              <w:rPr>
                <w:rFonts w:asciiTheme="minorHAnsi" w:hAnsiTheme="minorHAnsi" w:cstheme="minorHAnsi"/>
                <w:sz w:val="20"/>
                <w:szCs w:val="20"/>
              </w:rPr>
              <w:t>229-5587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hyperlink r:id="rId17" w:history="1">
              <w:r w:rsidRPr="0050487D">
                <w:rPr>
                  <w:rFonts w:asciiTheme="minorHAnsi" w:hAnsiTheme="minorHAnsi" w:cstheme="minorHAnsi"/>
                  <w:sz w:val="20"/>
                  <w:szCs w:val="20"/>
                </w:rPr>
                <w:t>pugh.mark@deq.state.or.us</w:t>
              </w:r>
            </w:hyperlink>
          </w:p>
        </w:tc>
        <w:tc>
          <w:tcPr>
            <w:tcW w:w="2880" w:type="dxa"/>
            <w:vAlign w:val="center"/>
          </w:tcPr>
          <w:p w14:paraId="04443DC2" w14:textId="0CBC741A" w:rsidR="00343A09" w:rsidRPr="004A3075" w:rsidRDefault="00343A09" w:rsidP="00343A09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Pr="00557D66">
              <w:rPr>
                <w:rFonts w:cstheme="minorHAnsi"/>
                <w:sz w:val="20"/>
                <w:szCs w:val="20"/>
              </w:rPr>
              <w:t>dvancing environmental protection and justice for all communities and ecosystems in Oregon</w:t>
            </w:r>
          </w:p>
        </w:tc>
        <w:tc>
          <w:tcPr>
            <w:tcW w:w="4410" w:type="dxa"/>
            <w:vAlign w:val="center"/>
          </w:tcPr>
          <w:p w14:paraId="6E640518" w14:textId="1296901A" w:rsidR="00343A09" w:rsidRPr="004A3075" w:rsidRDefault="00343A09" w:rsidP="00343A09">
            <w:pPr>
              <w:autoSpaceDE w:val="0"/>
              <w:autoSpaceDN w:val="0"/>
              <w:adjustRightInd w:val="0"/>
              <w:spacing w:after="0" w:line="240" w:lineRule="exact"/>
              <w:ind w:left="144"/>
              <w:rPr>
                <w:rFonts w:eastAsia="Times New Roman" w:cstheme="minorHAnsi"/>
                <w:sz w:val="20"/>
                <w:szCs w:val="20"/>
              </w:rPr>
            </w:pPr>
            <w:r w:rsidRPr="004A3075">
              <w:rPr>
                <w:rFonts w:cstheme="minorHAnsi"/>
                <w:sz w:val="20"/>
                <w:szCs w:val="20"/>
              </w:rPr>
              <w:t>The Tribe will continue to work closely with DEQ to ensure assessment and cleanup activities comply with state requirements and standards.</w:t>
            </w:r>
          </w:p>
        </w:tc>
      </w:tr>
      <w:tr w:rsidR="004F022D" w:rsidRPr="004A3075" w14:paraId="26F3E7E8" w14:textId="0A31DBE3" w:rsidTr="003C06DE">
        <w:trPr>
          <w:trHeight w:val="584"/>
        </w:trPr>
        <w:tc>
          <w:tcPr>
            <w:tcW w:w="3150" w:type="dxa"/>
            <w:vAlign w:val="center"/>
          </w:tcPr>
          <w:p w14:paraId="066930D1" w14:textId="24251795" w:rsidR="004F022D" w:rsidRPr="004A3075" w:rsidRDefault="004F022D" w:rsidP="0050487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4FA71FD" w14:textId="104E3A73" w:rsidR="004F022D" w:rsidRPr="004A3075" w:rsidRDefault="004F022D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228DDC1D" w14:textId="38E04F47" w:rsidR="004F022D" w:rsidRPr="004A3075" w:rsidRDefault="004F022D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A09" w:rsidRPr="004A3075" w14:paraId="1D8C34E0" w14:textId="77777777" w:rsidTr="003C06DE">
        <w:trPr>
          <w:trHeight w:val="584"/>
        </w:trPr>
        <w:tc>
          <w:tcPr>
            <w:tcW w:w="3150" w:type="dxa"/>
            <w:vAlign w:val="center"/>
          </w:tcPr>
          <w:p w14:paraId="3BE0D5CB" w14:textId="77777777" w:rsidR="00343A09" w:rsidRPr="004A3075" w:rsidRDefault="00343A09" w:rsidP="0050487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3B76B007" w14:textId="77777777" w:rsidR="00343A09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534BC9DE" w14:textId="77777777" w:rsidR="00343A09" w:rsidRPr="004A3075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A09" w:rsidRPr="004A3075" w14:paraId="09E7C05C" w14:textId="77777777" w:rsidTr="003C06DE">
        <w:trPr>
          <w:trHeight w:val="584"/>
        </w:trPr>
        <w:tc>
          <w:tcPr>
            <w:tcW w:w="3150" w:type="dxa"/>
            <w:vAlign w:val="center"/>
          </w:tcPr>
          <w:p w14:paraId="26D52615" w14:textId="77777777" w:rsidR="00343A09" w:rsidRPr="004A3075" w:rsidRDefault="00343A09" w:rsidP="0050487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5A22A9A7" w14:textId="77777777" w:rsidR="00343A09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7ED34414" w14:textId="77777777" w:rsidR="00343A09" w:rsidRPr="004A3075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43A09" w:rsidRPr="004A3075" w14:paraId="52101F57" w14:textId="77777777" w:rsidTr="003C06DE">
        <w:trPr>
          <w:trHeight w:val="584"/>
        </w:trPr>
        <w:tc>
          <w:tcPr>
            <w:tcW w:w="3150" w:type="dxa"/>
            <w:vAlign w:val="center"/>
          </w:tcPr>
          <w:p w14:paraId="1ACB3E19" w14:textId="77777777" w:rsidR="00343A09" w:rsidRPr="004A3075" w:rsidRDefault="00343A09" w:rsidP="0050487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14:paraId="021A1329" w14:textId="77777777" w:rsidR="00343A09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10" w:type="dxa"/>
            <w:vAlign w:val="center"/>
          </w:tcPr>
          <w:p w14:paraId="3D5DC9B6" w14:textId="77777777" w:rsidR="00343A09" w:rsidRPr="004A3075" w:rsidRDefault="00343A09" w:rsidP="004F022D">
            <w:pPr>
              <w:pStyle w:val="TableParagraph"/>
              <w:spacing w:line="240" w:lineRule="exact"/>
              <w:ind w:left="1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F2CF77" w14:textId="520F1D62" w:rsidR="0066672A" w:rsidRPr="002C0302" w:rsidRDefault="00ED7152" w:rsidP="00B94CBD">
      <w:pPr>
        <w:widowControl w:val="0"/>
        <w:spacing w:before="60" w:after="0" w:line="240" w:lineRule="exact"/>
        <w:rPr>
          <w:rFonts w:cstheme="minorHAnsi"/>
          <w:sz w:val="24"/>
          <w:szCs w:val="24"/>
        </w:rPr>
      </w:pPr>
      <w:r w:rsidRPr="004A3075">
        <w:rPr>
          <w:rFonts w:cstheme="minorHAnsi"/>
          <w:b/>
          <w:spacing w:val="-8"/>
          <w:sz w:val="24"/>
          <w:szCs w:val="24"/>
          <w:u w:val="single"/>
        </w:rPr>
        <w:t>2.</w:t>
      </w:r>
      <w:r w:rsidR="00AA6DF7" w:rsidRPr="004A3075">
        <w:rPr>
          <w:rFonts w:cstheme="minorHAnsi"/>
          <w:b/>
          <w:spacing w:val="-8"/>
          <w:sz w:val="24"/>
          <w:szCs w:val="24"/>
          <w:u w:val="single"/>
        </w:rPr>
        <w:t>g</w:t>
      </w:r>
      <w:r w:rsidRPr="004A3075">
        <w:rPr>
          <w:rFonts w:cstheme="minorHAnsi"/>
          <w:b/>
          <w:spacing w:val="-8"/>
          <w:sz w:val="24"/>
          <w:szCs w:val="24"/>
          <w:u w:val="single"/>
        </w:rPr>
        <w:t>. Incorporating Community Input</w:t>
      </w:r>
      <w:r w:rsidR="00920447" w:rsidRPr="004A3075">
        <w:rPr>
          <w:rFonts w:cstheme="minorHAnsi"/>
          <w:b/>
          <w:spacing w:val="-8"/>
          <w:sz w:val="24"/>
          <w:szCs w:val="24"/>
        </w:rPr>
        <w:t>:</w:t>
      </w:r>
      <w:r w:rsidR="00F06580" w:rsidRPr="004A3075">
        <w:rPr>
          <w:rFonts w:cstheme="minorHAnsi"/>
          <w:b/>
          <w:spacing w:val="-8"/>
          <w:sz w:val="24"/>
          <w:szCs w:val="24"/>
        </w:rPr>
        <w:t xml:space="preserve"> </w:t>
      </w:r>
      <w:r w:rsidR="00410B45" w:rsidRPr="004A3075">
        <w:rPr>
          <w:rFonts w:cstheme="minorHAnsi"/>
          <w:sz w:val="24"/>
          <w:szCs w:val="24"/>
        </w:rPr>
        <w:t xml:space="preserve">Community outreach during the EPA grant project will be a continuation of the robust engagement already begun by the Tribe and project partners. </w:t>
      </w:r>
      <w:r w:rsidR="00B277DF" w:rsidRPr="004A3075">
        <w:rPr>
          <w:rFonts w:cstheme="minorHAnsi"/>
          <w:sz w:val="24"/>
          <w:szCs w:val="24"/>
        </w:rPr>
        <w:t>At the start of the EPA grant, t</w:t>
      </w:r>
      <w:r w:rsidR="00AF5B0E" w:rsidRPr="004A3075">
        <w:rPr>
          <w:rFonts w:cstheme="minorHAnsi"/>
          <w:sz w:val="24"/>
          <w:szCs w:val="24"/>
        </w:rPr>
        <w:t>he Tribe will prepare a</w:t>
      </w:r>
      <w:r w:rsidR="0066672A" w:rsidRPr="004A3075">
        <w:rPr>
          <w:rFonts w:cstheme="minorHAnsi"/>
          <w:sz w:val="24"/>
          <w:szCs w:val="24"/>
        </w:rPr>
        <w:t>n EPA grant-specific</w:t>
      </w:r>
      <w:r w:rsidR="00AF5B0E" w:rsidRPr="004A3075">
        <w:rPr>
          <w:rFonts w:cstheme="minorHAnsi"/>
          <w:sz w:val="24"/>
          <w:szCs w:val="24"/>
        </w:rPr>
        <w:t xml:space="preserve"> Public Involvement Plan (PIP) to guide and track outreach efforts </w:t>
      </w:r>
      <w:r w:rsidR="0066672A" w:rsidRPr="004A3075">
        <w:rPr>
          <w:rFonts w:cstheme="minorHAnsi"/>
          <w:sz w:val="24"/>
          <w:szCs w:val="24"/>
        </w:rPr>
        <w:t>specific to</w:t>
      </w:r>
      <w:r w:rsidR="00AF5B0E" w:rsidRPr="004A3075">
        <w:rPr>
          <w:rFonts w:cstheme="minorHAnsi"/>
          <w:sz w:val="24"/>
          <w:szCs w:val="24"/>
        </w:rPr>
        <w:t xml:space="preserve"> grant </w:t>
      </w:r>
      <w:r w:rsidR="00410B45" w:rsidRPr="004A3075">
        <w:rPr>
          <w:rFonts w:cstheme="minorHAnsi"/>
          <w:sz w:val="24"/>
          <w:szCs w:val="24"/>
        </w:rPr>
        <w:t>activities</w:t>
      </w:r>
      <w:r w:rsidR="00AF5B0E" w:rsidRPr="004A3075">
        <w:rPr>
          <w:rFonts w:cstheme="minorHAnsi"/>
          <w:sz w:val="24"/>
          <w:szCs w:val="24"/>
        </w:rPr>
        <w:t>.</w:t>
      </w:r>
      <w:r w:rsidR="0066672A" w:rsidRPr="004A3075">
        <w:rPr>
          <w:rFonts w:cstheme="minorHAnsi"/>
          <w:sz w:val="24"/>
          <w:szCs w:val="24"/>
        </w:rPr>
        <w:t xml:space="preserve"> The PIP will document methods for harnessing the experience, tools, methods, and networks established over the long history of community engagement around the former Blue Heron Mill. </w:t>
      </w:r>
      <w:r w:rsidR="00AF5B0E" w:rsidRPr="004A3075">
        <w:rPr>
          <w:rFonts w:cstheme="minorHAnsi"/>
          <w:sz w:val="24"/>
          <w:szCs w:val="24"/>
        </w:rPr>
        <w:t>The PIP will include a schedule of</w:t>
      </w:r>
      <w:r w:rsidR="00AF5B0E" w:rsidRPr="002C0302">
        <w:rPr>
          <w:rFonts w:cstheme="minorHAnsi"/>
          <w:sz w:val="24"/>
          <w:szCs w:val="24"/>
        </w:rPr>
        <w:t xml:space="preserve"> </w:t>
      </w:r>
      <w:r w:rsidR="00B277DF" w:rsidRPr="002C0302">
        <w:rPr>
          <w:rFonts w:cstheme="minorHAnsi"/>
          <w:sz w:val="24"/>
          <w:szCs w:val="24"/>
        </w:rPr>
        <w:t xml:space="preserve">grant-specific </w:t>
      </w:r>
      <w:r w:rsidR="00AF5B0E" w:rsidRPr="002C0302">
        <w:rPr>
          <w:rFonts w:cstheme="minorHAnsi"/>
          <w:sz w:val="24"/>
          <w:szCs w:val="24"/>
        </w:rPr>
        <w:t>outreach events, methods for publicizing grant news and announcements</w:t>
      </w:r>
      <w:r w:rsidR="00490D68">
        <w:rPr>
          <w:rFonts w:cstheme="minorHAnsi"/>
          <w:sz w:val="24"/>
          <w:szCs w:val="24"/>
        </w:rPr>
        <w:t xml:space="preserve"> </w:t>
      </w:r>
      <w:r w:rsidR="00A65109">
        <w:rPr>
          <w:rFonts w:cstheme="minorHAnsi"/>
          <w:sz w:val="24"/>
          <w:szCs w:val="24"/>
        </w:rPr>
        <w:t xml:space="preserve">in the local </w:t>
      </w:r>
      <w:r w:rsidR="00A02D42">
        <w:rPr>
          <w:rFonts w:cstheme="minorHAnsi"/>
          <w:sz w:val="24"/>
          <w:szCs w:val="24"/>
        </w:rPr>
        <w:t>community</w:t>
      </w:r>
      <w:r w:rsidR="00A02D42" w:rsidRPr="002C0302">
        <w:rPr>
          <w:rFonts w:cstheme="minorHAnsi"/>
          <w:sz w:val="24"/>
          <w:szCs w:val="24"/>
        </w:rPr>
        <w:t xml:space="preserve"> and</w:t>
      </w:r>
      <w:r w:rsidR="00AF5B0E" w:rsidRPr="002C0302">
        <w:rPr>
          <w:rFonts w:cstheme="minorHAnsi"/>
          <w:sz w:val="24"/>
          <w:szCs w:val="24"/>
        </w:rPr>
        <w:t xml:space="preserve"> identify project partners </w:t>
      </w:r>
      <w:r w:rsidR="00B277DF" w:rsidRPr="002C0302">
        <w:rPr>
          <w:rFonts w:cstheme="minorHAnsi"/>
          <w:sz w:val="24"/>
          <w:szCs w:val="24"/>
        </w:rPr>
        <w:t>and roles.</w:t>
      </w:r>
      <w:r w:rsidR="00AF5B0E" w:rsidRPr="002C0302">
        <w:rPr>
          <w:rFonts w:cstheme="minorHAnsi"/>
          <w:sz w:val="24"/>
          <w:szCs w:val="24"/>
        </w:rPr>
        <w:t xml:space="preserve"> </w:t>
      </w:r>
    </w:p>
    <w:p w14:paraId="7057517E" w14:textId="76EEC513" w:rsidR="006222D1" w:rsidRPr="00E27D4C" w:rsidRDefault="00B277DF" w:rsidP="006222D1">
      <w:pPr>
        <w:pStyle w:val="BodyText"/>
        <w:spacing w:before="60" w:after="80" w:line="240" w:lineRule="exact"/>
        <w:ind w:right="158"/>
        <w:rPr>
          <w:rFonts w:cstheme="minorHAnsi"/>
        </w:rPr>
      </w:pPr>
      <w:r w:rsidRPr="002C0302">
        <w:rPr>
          <w:rFonts w:cstheme="minorHAnsi"/>
          <w:sz w:val="24"/>
          <w:szCs w:val="24"/>
        </w:rPr>
        <w:t>Community e</w:t>
      </w:r>
      <w:r w:rsidR="005D6A0B" w:rsidRPr="002C0302">
        <w:rPr>
          <w:rFonts w:cstheme="minorHAnsi"/>
          <w:sz w:val="24"/>
          <w:szCs w:val="24"/>
        </w:rPr>
        <w:t>ngagement</w:t>
      </w:r>
      <w:r w:rsidRPr="002C0302">
        <w:rPr>
          <w:rFonts w:cstheme="minorHAnsi"/>
          <w:sz w:val="24"/>
          <w:szCs w:val="24"/>
        </w:rPr>
        <w:t xml:space="preserve"> specific to this grant</w:t>
      </w:r>
      <w:r w:rsidR="005D6A0B" w:rsidRPr="002C0302">
        <w:rPr>
          <w:rFonts w:cstheme="minorHAnsi"/>
          <w:sz w:val="24"/>
          <w:szCs w:val="24"/>
        </w:rPr>
        <w:t xml:space="preserve"> began when the Tribe held a </w:t>
      </w:r>
      <w:r w:rsidR="006222D1" w:rsidRPr="002C0302">
        <w:rPr>
          <w:rFonts w:cstheme="minorHAnsi"/>
          <w:sz w:val="24"/>
          <w:szCs w:val="24"/>
        </w:rPr>
        <w:t xml:space="preserve">virtual </w:t>
      </w:r>
      <w:r w:rsidR="005D6A0B" w:rsidRPr="002C0302">
        <w:rPr>
          <w:rFonts w:cstheme="minorHAnsi"/>
          <w:sz w:val="24"/>
          <w:szCs w:val="24"/>
        </w:rPr>
        <w:t xml:space="preserve">public meeting on </w:t>
      </w:r>
      <w:r w:rsidR="002C0302">
        <w:rPr>
          <w:rFonts w:cstheme="minorHAnsi"/>
          <w:sz w:val="24"/>
          <w:szCs w:val="24"/>
          <w:highlight w:val="yellow"/>
        </w:rPr>
        <w:t>DATE??</w:t>
      </w:r>
      <w:r w:rsidR="005D6A0B" w:rsidRPr="000B67FD">
        <w:rPr>
          <w:rFonts w:cstheme="minorHAnsi"/>
          <w:sz w:val="24"/>
          <w:szCs w:val="24"/>
          <w:highlight w:val="yellow"/>
        </w:rPr>
        <w:t xml:space="preserve"> </w:t>
      </w:r>
      <w:r w:rsidR="005D6A0B" w:rsidRPr="002C0302">
        <w:rPr>
          <w:rFonts w:cstheme="minorHAnsi"/>
          <w:sz w:val="24"/>
          <w:szCs w:val="24"/>
        </w:rPr>
        <w:t xml:space="preserve">to share the plan to apply for an EPA Brownfield </w:t>
      </w:r>
      <w:r w:rsidR="002C0302" w:rsidRPr="002C0302">
        <w:rPr>
          <w:rFonts w:cstheme="minorHAnsi"/>
          <w:sz w:val="24"/>
          <w:szCs w:val="24"/>
        </w:rPr>
        <w:t xml:space="preserve">Cleanup </w:t>
      </w:r>
      <w:r w:rsidR="005D6A0B" w:rsidRPr="002C0302">
        <w:rPr>
          <w:rFonts w:cstheme="minorHAnsi"/>
          <w:sz w:val="24"/>
          <w:szCs w:val="24"/>
        </w:rPr>
        <w:t xml:space="preserve">Grant. </w:t>
      </w:r>
      <w:r w:rsidRPr="002C0302">
        <w:rPr>
          <w:rFonts w:cstheme="minorHAnsi"/>
          <w:sz w:val="24"/>
          <w:szCs w:val="24"/>
        </w:rPr>
        <w:t>C</w:t>
      </w:r>
      <w:r w:rsidR="005D6A0B" w:rsidRPr="002C0302">
        <w:rPr>
          <w:rFonts w:cstheme="minorHAnsi"/>
          <w:sz w:val="24"/>
          <w:szCs w:val="24"/>
        </w:rPr>
        <w:t xml:space="preserve">ommunity members attended the event to learn about and share ideas around how the grant </w:t>
      </w:r>
      <w:r w:rsidRPr="002C0302">
        <w:rPr>
          <w:rFonts w:cstheme="minorHAnsi"/>
          <w:sz w:val="24"/>
          <w:szCs w:val="24"/>
        </w:rPr>
        <w:t xml:space="preserve">can help shape and advance the Site’s </w:t>
      </w:r>
      <w:r w:rsidR="005D6A0B" w:rsidRPr="002C0302">
        <w:rPr>
          <w:rFonts w:cstheme="minorHAnsi"/>
          <w:sz w:val="24"/>
          <w:szCs w:val="24"/>
        </w:rPr>
        <w:t xml:space="preserve">revitalization plans. </w:t>
      </w:r>
      <w:r w:rsidR="008A439F" w:rsidRPr="002C0302">
        <w:rPr>
          <w:rFonts w:cstheme="minorHAnsi"/>
          <w:sz w:val="24"/>
          <w:szCs w:val="24"/>
        </w:rPr>
        <w:t xml:space="preserve">The Tribe will host </w:t>
      </w:r>
      <w:proofErr w:type="gramStart"/>
      <w:r w:rsidR="008A439F" w:rsidRPr="002C0302">
        <w:rPr>
          <w:rFonts w:cstheme="minorHAnsi"/>
          <w:sz w:val="24"/>
          <w:szCs w:val="24"/>
        </w:rPr>
        <w:t>a at</w:t>
      </w:r>
      <w:proofErr w:type="gramEnd"/>
      <w:r w:rsidR="008A439F" w:rsidRPr="002C0302">
        <w:rPr>
          <w:rFonts w:cstheme="minorHAnsi"/>
          <w:sz w:val="24"/>
          <w:szCs w:val="24"/>
        </w:rPr>
        <w:t xml:space="preserve"> least </w:t>
      </w:r>
      <w:r w:rsidR="002C0302" w:rsidRPr="002C0302">
        <w:rPr>
          <w:rFonts w:cstheme="minorHAnsi"/>
          <w:sz w:val="24"/>
          <w:szCs w:val="24"/>
        </w:rPr>
        <w:t>three</w:t>
      </w:r>
      <w:r w:rsidR="008A439F" w:rsidRPr="002C0302">
        <w:rPr>
          <w:rFonts w:cstheme="minorHAnsi"/>
          <w:sz w:val="24"/>
          <w:szCs w:val="24"/>
        </w:rPr>
        <w:t xml:space="preserve"> additional grant-</w:t>
      </w:r>
      <w:r w:rsidR="008A439F" w:rsidRPr="00487B43">
        <w:rPr>
          <w:rFonts w:cstheme="minorHAnsi"/>
          <w:sz w:val="24"/>
          <w:szCs w:val="24"/>
        </w:rPr>
        <w:t xml:space="preserve">related public events during </w:t>
      </w:r>
      <w:r w:rsidRPr="00487B43">
        <w:rPr>
          <w:rFonts w:cstheme="minorHAnsi"/>
          <w:sz w:val="24"/>
          <w:szCs w:val="24"/>
        </w:rPr>
        <w:t xml:space="preserve">the </w:t>
      </w:r>
      <w:r w:rsidR="008A439F" w:rsidRPr="00487B43">
        <w:rPr>
          <w:rFonts w:cstheme="minorHAnsi"/>
          <w:sz w:val="24"/>
          <w:szCs w:val="24"/>
        </w:rPr>
        <w:t xml:space="preserve">grant term to inform the public and solicit input. The events will be held at key milestones which may include when news of the grant award is received, </w:t>
      </w:r>
      <w:r w:rsidR="00837419" w:rsidRPr="00487B43">
        <w:rPr>
          <w:rFonts w:cstheme="minorHAnsi"/>
          <w:sz w:val="24"/>
          <w:szCs w:val="24"/>
        </w:rPr>
        <w:t>during cleanup, and when cleanup is complete</w:t>
      </w:r>
      <w:r w:rsidR="008A439F" w:rsidRPr="00487B43">
        <w:rPr>
          <w:rFonts w:cstheme="minorHAnsi"/>
          <w:sz w:val="24"/>
          <w:szCs w:val="24"/>
        </w:rPr>
        <w:t xml:space="preserve">. </w:t>
      </w:r>
      <w:r w:rsidR="006222D1" w:rsidRPr="00487B43">
        <w:rPr>
          <w:rFonts w:cstheme="minorHAnsi"/>
          <w:sz w:val="24"/>
          <w:szCs w:val="24"/>
        </w:rPr>
        <w:t xml:space="preserve">The Tribe </w:t>
      </w:r>
      <w:proofErr w:type="gramStart"/>
      <w:r w:rsidRPr="00487B43">
        <w:rPr>
          <w:rFonts w:cstheme="minorHAnsi"/>
          <w:sz w:val="24"/>
          <w:szCs w:val="24"/>
        </w:rPr>
        <w:t>is able to</w:t>
      </w:r>
      <w:proofErr w:type="gramEnd"/>
      <w:r w:rsidR="006222D1" w:rsidRPr="00487B43">
        <w:rPr>
          <w:rFonts w:cstheme="minorHAnsi"/>
          <w:sz w:val="24"/>
          <w:szCs w:val="24"/>
        </w:rPr>
        <w:t xml:space="preserve"> hold public meetings virtually or in person</w:t>
      </w:r>
      <w:r w:rsidR="00837419" w:rsidRPr="00487B43">
        <w:rPr>
          <w:rFonts w:cstheme="minorHAnsi"/>
          <w:sz w:val="24"/>
          <w:szCs w:val="24"/>
        </w:rPr>
        <w:t xml:space="preserve"> to accommodate </w:t>
      </w:r>
      <w:r w:rsidR="00AC3410" w:rsidRPr="00487B43">
        <w:rPr>
          <w:rFonts w:cstheme="minorHAnsi"/>
          <w:sz w:val="24"/>
          <w:szCs w:val="24"/>
        </w:rPr>
        <w:t>community members with limited mobility</w:t>
      </w:r>
      <w:r w:rsidR="006222D1" w:rsidRPr="00487B43">
        <w:rPr>
          <w:rFonts w:cstheme="minorHAnsi"/>
          <w:sz w:val="24"/>
          <w:szCs w:val="24"/>
        </w:rPr>
        <w:t>. The Tribe can also record presentations for posting Trib</w:t>
      </w:r>
      <w:r w:rsidRPr="00487B43">
        <w:rPr>
          <w:rFonts w:cstheme="minorHAnsi"/>
          <w:sz w:val="24"/>
          <w:szCs w:val="24"/>
        </w:rPr>
        <w:t>al</w:t>
      </w:r>
      <w:r w:rsidR="006222D1" w:rsidRPr="00487B43">
        <w:rPr>
          <w:rFonts w:cstheme="minorHAnsi"/>
          <w:sz w:val="24"/>
          <w:szCs w:val="24"/>
        </w:rPr>
        <w:t xml:space="preserve"> and partner websites. The Tribe will prepare signage for display during the project </w:t>
      </w:r>
      <w:r w:rsidR="00E30CF1" w:rsidRPr="00487B43">
        <w:rPr>
          <w:rFonts w:cstheme="minorHAnsi"/>
          <w:sz w:val="24"/>
          <w:szCs w:val="24"/>
        </w:rPr>
        <w:t xml:space="preserve">to </w:t>
      </w:r>
      <w:r w:rsidR="00E30CF1" w:rsidRPr="00E27D4C">
        <w:rPr>
          <w:rFonts w:cstheme="minorHAnsi"/>
          <w:sz w:val="24"/>
          <w:szCs w:val="24"/>
        </w:rPr>
        <w:t xml:space="preserve">inform the public about the activity </w:t>
      </w:r>
      <w:r w:rsidR="006222D1" w:rsidRPr="00E27D4C">
        <w:rPr>
          <w:rFonts w:cstheme="minorHAnsi"/>
          <w:sz w:val="24"/>
          <w:szCs w:val="24"/>
        </w:rPr>
        <w:t>and noting that it was funded by an EPA Brownfield Grant.</w:t>
      </w:r>
    </w:p>
    <w:p w14:paraId="6E101540" w14:textId="72FE42D3" w:rsidR="007261FD" w:rsidRPr="008E7E81" w:rsidRDefault="008A439F" w:rsidP="007261FD">
      <w:pPr>
        <w:widowControl w:val="0"/>
        <w:spacing w:before="60" w:after="0" w:line="240" w:lineRule="exact"/>
        <w:rPr>
          <w:rFonts w:cstheme="minorHAnsi"/>
          <w:sz w:val="24"/>
          <w:szCs w:val="24"/>
        </w:rPr>
      </w:pPr>
      <w:r w:rsidRPr="00E27D4C">
        <w:rPr>
          <w:rFonts w:cstheme="minorHAnsi"/>
          <w:sz w:val="24"/>
          <w:szCs w:val="24"/>
        </w:rPr>
        <w:t xml:space="preserve">Project information will be shared with the </w:t>
      </w:r>
      <w:r w:rsidR="004A775A" w:rsidRPr="00E27D4C">
        <w:rPr>
          <w:rFonts w:cstheme="minorHAnsi"/>
          <w:sz w:val="24"/>
          <w:szCs w:val="24"/>
        </w:rPr>
        <w:t xml:space="preserve">Tribal and Target Area </w:t>
      </w:r>
      <w:r w:rsidRPr="00E27D4C">
        <w:rPr>
          <w:rFonts w:cstheme="minorHAnsi"/>
          <w:sz w:val="24"/>
          <w:szCs w:val="24"/>
        </w:rPr>
        <w:t>communit</w:t>
      </w:r>
      <w:r w:rsidR="004A775A" w:rsidRPr="00E27D4C">
        <w:rPr>
          <w:rFonts w:cstheme="minorHAnsi"/>
          <w:sz w:val="24"/>
          <w:szCs w:val="24"/>
        </w:rPr>
        <w:t>ies</w:t>
      </w:r>
      <w:r w:rsidRPr="00E27D4C">
        <w:rPr>
          <w:rFonts w:cstheme="minorHAnsi"/>
          <w:sz w:val="24"/>
          <w:szCs w:val="24"/>
        </w:rPr>
        <w:t xml:space="preserve"> on at least a quarterly basis during the grant term via presentations at these events and/or through the Tribe’s newspaper </w:t>
      </w:r>
      <w:r w:rsidRPr="00E27D4C">
        <w:rPr>
          <w:rFonts w:cstheme="minorHAnsi"/>
          <w:i/>
          <w:iCs/>
          <w:sz w:val="24"/>
          <w:szCs w:val="24"/>
        </w:rPr>
        <w:t>Smoke Signals</w:t>
      </w:r>
      <w:r w:rsidRPr="00E27D4C">
        <w:rPr>
          <w:rFonts w:cstheme="minorHAnsi"/>
          <w:sz w:val="24"/>
          <w:szCs w:val="24"/>
        </w:rPr>
        <w:t>, press releases,</w:t>
      </w:r>
      <w:r w:rsidR="002C5014">
        <w:rPr>
          <w:rFonts w:cstheme="minorHAnsi"/>
          <w:sz w:val="24"/>
          <w:szCs w:val="24"/>
        </w:rPr>
        <w:t xml:space="preserve"> fact sheets,</w:t>
      </w:r>
      <w:r w:rsidRPr="00E27D4C">
        <w:rPr>
          <w:rFonts w:cstheme="minorHAnsi"/>
          <w:sz w:val="24"/>
          <w:szCs w:val="24"/>
        </w:rPr>
        <w:t xml:space="preserve"> the project-specific </w:t>
      </w:r>
      <w:r w:rsidRPr="008E7E81">
        <w:rPr>
          <w:rFonts w:cstheme="minorHAnsi"/>
          <w:sz w:val="24"/>
          <w:szCs w:val="24"/>
        </w:rPr>
        <w:t>webpage on the Tribe’s website</w:t>
      </w:r>
      <w:r w:rsidR="004A775A" w:rsidRPr="008E7E81">
        <w:rPr>
          <w:rFonts w:cstheme="minorHAnsi"/>
          <w:sz w:val="24"/>
          <w:szCs w:val="24"/>
        </w:rPr>
        <w:t xml:space="preserve">, the Tribe’s </w:t>
      </w:r>
      <w:r w:rsidRPr="008E7E81">
        <w:rPr>
          <w:rFonts w:cstheme="minorHAnsi"/>
          <w:sz w:val="24"/>
          <w:szCs w:val="24"/>
        </w:rPr>
        <w:t>Facebook page</w:t>
      </w:r>
      <w:r w:rsidR="004A775A" w:rsidRPr="008E7E81">
        <w:rPr>
          <w:rFonts w:cstheme="minorHAnsi"/>
          <w:sz w:val="24"/>
          <w:szCs w:val="24"/>
        </w:rPr>
        <w:t>, and through community partner networks, social media outlets, and events</w:t>
      </w:r>
      <w:r w:rsidRPr="008E7E81">
        <w:rPr>
          <w:rFonts w:cstheme="minorHAnsi"/>
          <w:sz w:val="24"/>
          <w:szCs w:val="24"/>
        </w:rPr>
        <w:t xml:space="preserve">. </w:t>
      </w:r>
    </w:p>
    <w:p w14:paraId="2181E252" w14:textId="29BF8E51" w:rsidR="005D6A0B" w:rsidRPr="000B67FD" w:rsidRDefault="005D6A0B" w:rsidP="007261FD">
      <w:pPr>
        <w:widowControl w:val="0"/>
        <w:spacing w:before="60" w:after="0" w:line="240" w:lineRule="exact"/>
        <w:rPr>
          <w:rFonts w:cstheme="minorHAnsi"/>
          <w:sz w:val="24"/>
        </w:rPr>
      </w:pPr>
      <w:r w:rsidRPr="008E7E81">
        <w:rPr>
          <w:rFonts w:cstheme="minorHAnsi"/>
          <w:sz w:val="24"/>
          <w:szCs w:val="24"/>
        </w:rPr>
        <w:t xml:space="preserve">Community input will be gathered using tools including electronic polling and surveys at events, </w:t>
      </w:r>
      <w:r w:rsidRPr="008E7E81">
        <w:rPr>
          <w:rFonts w:cstheme="minorHAnsi"/>
          <w:sz w:val="24"/>
          <w:szCs w:val="24"/>
        </w:rPr>
        <w:lastRenderedPageBreak/>
        <w:t>capturing input during presentations</w:t>
      </w:r>
      <w:r w:rsidR="00AE3B10">
        <w:rPr>
          <w:rFonts w:cstheme="minorHAnsi"/>
          <w:sz w:val="24"/>
          <w:szCs w:val="24"/>
        </w:rPr>
        <w:t>/public meetings</w:t>
      </w:r>
      <w:r w:rsidRPr="008E7E81">
        <w:rPr>
          <w:rFonts w:cstheme="minorHAnsi"/>
          <w:sz w:val="24"/>
          <w:szCs w:val="24"/>
        </w:rPr>
        <w:t>, and from comments provided directly to the Tribe via website comments, emails, and phone calls. The Tribe will compile community input from these sources on a quarterly basis and develop responses</w:t>
      </w:r>
      <w:r w:rsidR="00C97364">
        <w:rPr>
          <w:rFonts w:cstheme="minorHAnsi"/>
          <w:sz w:val="24"/>
          <w:szCs w:val="24"/>
        </w:rPr>
        <w:t xml:space="preserve"> for posting and publicizing </w:t>
      </w:r>
      <w:r w:rsidR="001A0A81" w:rsidRPr="008E7E81">
        <w:rPr>
          <w:rFonts w:cstheme="minorHAnsi"/>
          <w:sz w:val="24"/>
          <w:szCs w:val="24"/>
        </w:rPr>
        <w:t xml:space="preserve">via tools like Frequently Asked Questions posted on the Tribe’s website and fact sheets and articles </w:t>
      </w:r>
      <w:r w:rsidR="001A0A81">
        <w:rPr>
          <w:rFonts w:cstheme="minorHAnsi"/>
          <w:sz w:val="24"/>
          <w:szCs w:val="24"/>
        </w:rPr>
        <w:t xml:space="preserve">posted at community-accessible locations </w:t>
      </w:r>
      <w:r w:rsidR="001A0A81" w:rsidRPr="008E7E81">
        <w:rPr>
          <w:rFonts w:cstheme="minorHAnsi"/>
          <w:sz w:val="24"/>
          <w:szCs w:val="24"/>
        </w:rPr>
        <w:t>addressing specific issues, questions, and suggestions.</w:t>
      </w:r>
      <w:r w:rsidR="001A0A81">
        <w:rPr>
          <w:rFonts w:cstheme="minorHAnsi"/>
          <w:sz w:val="24"/>
          <w:szCs w:val="24"/>
        </w:rPr>
        <w:t xml:space="preserve"> </w:t>
      </w:r>
      <w:r w:rsidR="00334D85" w:rsidRPr="008E7E81">
        <w:rPr>
          <w:rFonts w:cstheme="minorHAnsi"/>
          <w:sz w:val="24"/>
          <w:szCs w:val="24"/>
        </w:rPr>
        <w:t>T</w:t>
      </w:r>
      <w:r w:rsidRPr="008E7E81">
        <w:rPr>
          <w:rFonts w:cstheme="minorHAnsi"/>
          <w:sz w:val="24"/>
          <w:szCs w:val="24"/>
        </w:rPr>
        <w:t>he Tribe’s response</w:t>
      </w:r>
      <w:r w:rsidR="0066672A" w:rsidRPr="008E7E81">
        <w:rPr>
          <w:rFonts w:cstheme="minorHAnsi"/>
          <w:sz w:val="24"/>
          <w:szCs w:val="24"/>
        </w:rPr>
        <w:t>s</w:t>
      </w:r>
      <w:r w:rsidR="00334D85" w:rsidRPr="008E7E81">
        <w:rPr>
          <w:rFonts w:cstheme="minorHAnsi"/>
          <w:sz w:val="24"/>
          <w:szCs w:val="24"/>
        </w:rPr>
        <w:t xml:space="preserve"> to input</w:t>
      </w:r>
      <w:r w:rsidRPr="008E7E81">
        <w:rPr>
          <w:rFonts w:cstheme="minorHAnsi"/>
          <w:sz w:val="24"/>
          <w:szCs w:val="24"/>
        </w:rPr>
        <w:t xml:space="preserve"> will be summarized in the quarterly project progress reports and in communications with the community</w:t>
      </w:r>
      <w:r w:rsidR="001A0A81">
        <w:rPr>
          <w:rFonts w:cstheme="minorHAnsi"/>
          <w:sz w:val="24"/>
          <w:szCs w:val="24"/>
        </w:rPr>
        <w:t>.</w:t>
      </w:r>
    </w:p>
    <w:p w14:paraId="78FBA45E" w14:textId="77777777" w:rsidR="004F022D" w:rsidRPr="000B67FD" w:rsidRDefault="00384FCB" w:rsidP="00F63602">
      <w:pPr>
        <w:widowControl w:val="0"/>
        <w:spacing w:before="120" w:after="0" w:line="260" w:lineRule="exact"/>
        <w:jc w:val="both"/>
        <w:rPr>
          <w:rFonts w:cstheme="minorHAnsi"/>
          <w:b/>
          <w:spacing w:val="-8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t xml:space="preserve">3. TASK DESCRIPTIONS, COST ESTIMATES, </w:t>
      </w:r>
      <w:r w:rsidR="004F022D" w:rsidRPr="000B67FD">
        <w:rPr>
          <w:rFonts w:cstheme="minorHAnsi"/>
          <w:b/>
          <w:spacing w:val="-8"/>
          <w:sz w:val="24"/>
          <w:szCs w:val="24"/>
          <w:u w:val="single"/>
        </w:rPr>
        <w:t>AND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 xml:space="preserve"> MEASURING PROGRESS</w:t>
      </w:r>
      <w:r w:rsidR="00920447" w:rsidRPr="000B67FD">
        <w:rPr>
          <w:rFonts w:cstheme="minorHAnsi"/>
          <w:b/>
          <w:spacing w:val="-8"/>
          <w:sz w:val="24"/>
          <w:szCs w:val="24"/>
        </w:rPr>
        <w:t>:</w:t>
      </w:r>
    </w:p>
    <w:p w14:paraId="62A8A001" w14:textId="5C9211A5" w:rsidR="004F022D" w:rsidRPr="000B67FD" w:rsidRDefault="4CEB164D" w:rsidP="09901AD8">
      <w:pPr>
        <w:widowControl w:val="0"/>
        <w:spacing w:before="60" w:after="0" w:line="240" w:lineRule="exact"/>
        <w:rPr>
          <w:sz w:val="24"/>
          <w:szCs w:val="24"/>
        </w:rPr>
      </w:pPr>
      <w:r w:rsidRPr="3757D282">
        <w:rPr>
          <w:b/>
          <w:bCs/>
          <w:spacing w:val="-8"/>
          <w:sz w:val="24"/>
          <w:szCs w:val="24"/>
          <w:u w:val="single"/>
        </w:rPr>
        <w:t>3.a. Proposed Cleanup Plan</w:t>
      </w:r>
      <w:r w:rsidRPr="3757D282">
        <w:rPr>
          <w:b/>
          <w:bCs/>
          <w:spacing w:val="-8"/>
          <w:sz w:val="24"/>
          <w:szCs w:val="24"/>
        </w:rPr>
        <w:t>:</w:t>
      </w:r>
      <w:r w:rsidR="5CED0D34" w:rsidRPr="3757D282">
        <w:rPr>
          <w:rFonts w:ascii="Calibri" w:eastAsia="Calibri" w:hAnsi="Calibri" w:cs="Calibri"/>
          <w:sz w:val="24"/>
          <w:szCs w:val="24"/>
        </w:rPr>
        <w:t xml:space="preserve"> </w:t>
      </w:r>
      <w:r w:rsidR="5CED0D34" w:rsidRPr="00A17C28">
        <w:rPr>
          <w:rFonts w:cstheme="minorHAnsi"/>
          <w:sz w:val="24"/>
          <w:szCs w:val="24"/>
        </w:rPr>
        <w:t xml:space="preserve">Cleanup of the </w:t>
      </w:r>
      <w:r w:rsidR="00BB2EC0">
        <w:rPr>
          <w:rFonts w:cstheme="minorHAnsi"/>
          <w:sz w:val="24"/>
          <w:szCs w:val="24"/>
        </w:rPr>
        <w:t>Site</w:t>
      </w:r>
      <w:r w:rsidR="5CED0D34" w:rsidRPr="00A17C28">
        <w:rPr>
          <w:rFonts w:cstheme="minorHAnsi"/>
          <w:sz w:val="24"/>
          <w:szCs w:val="24"/>
        </w:rPr>
        <w:t xml:space="preserve"> will comprise</w:t>
      </w:r>
      <w:r w:rsidR="00BB2EC0">
        <w:rPr>
          <w:rFonts w:cstheme="minorHAnsi"/>
          <w:sz w:val="24"/>
          <w:szCs w:val="24"/>
        </w:rPr>
        <w:t>:</w:t>
      </w:r>
      <w:r w:rsidR="5CED0D34" w:rsidRPr="00A17C28">
        <w:rPr>
          <w:rFonts w:cstheme="minorHAnsi"/>
          <w:sz w:val="24"/>
          <w:szCs w:val="24"/>
        </w:rPr>
        <w:t xml:space="preserve"> </w:t>
      </w:r>
      <w:r w:rsidR="00BB2EC0">
        <w:rPr>
          <w:rFonts w:cstheme="minorHAnsi"/>
          <w:sz w:val="24"/>
          <w:szCs w:val="24"/>
        </w:rPr>
        <w:t xml:space="preserve">1) </w:t>
      </w:r>
      <w:r w:rsidR="5CED0D34" w:rsidRPr="00A17C28">
        <w:rPr>
          <w:rFonts w:cstheme="minorHAnsi"/>
          <w:sz w:val="24"/>
          <w:szCs w:val="24"/>
        </w:rPr>
        <w:t xml:space="preserve">excavating </w:t>
      </w:r>
      <w:r w:rsidR="00BB2EC0">
        <w:rPr>
          <w:rFonts w:cstheme="minorHAnsi"/>
          <w:sz w:val="24"/>
          <w:szCs w:val="24"/>
        </w:rPr>
        <w:t xml:space="preserve">soil hot spots identified </w:t>
      </w:r>
      <w:r w:rsidR="00A24FF1">
        <w:rPr>
          <w:rFonts w:cstheme="minorHAnsi"/>
          <w:sz w:val="24"/>
          <w:szCs w:val="24"/>
        </w:rPr>
        <w:t>throughout the property</w:t>
      </w:r>
      <w:r w:rsidR="00D26B9D">
        <w:rPr>
          <w:rFonts w:cstheme="minorHAnsi"/>
          <w:sz w:val="24"/>
          <w:szCs w:val="24"/>
        </w:rPr>
        <w:t xml:space="preserve"> (</w:t>
      </w:r>
      <w:r w:rsidR="00E46E1B">
        <w:rPr>
          <w:rFonts w:cstheme="minorHAnsi"/>
          <w:sz w:val="24"/>
          <w:szCs w:val="24"/>
        </w:rPr>
        <w:t xml:space="preserve">cleanup of Parcel 2 hot spots will be done with CTGR funding as prior use of EPA cleanup funding has made this </w:t>
      </w:r>
      <w:r w:rsidR="00681256">
        <w:rPr>
          <w:rFonts w:cstheme="minorHAnsi"/>
          <w:sz w:val="24"/>
          <w:szCs w:val="24"/>
        </w:rPr>
        <w:t>parcel ineligible</w:t>
      </w:r>
      <w:r w:rsidR="002639E0">
        <w:rPr>
          <w:rFonts w:cstheme="minorHAnsi"/>
          <w:sz w:val="24"/>
          <w:szCs w:val="24"/>
        </w:rPr>
        <w:t xml:space="preserve"> for further EPA cleanup funding</w:t>
      </w:r>
      <w:r w:rsidR="00681256">
        <w:rPr>
          <w:rFonts w:cstheme="minorHAnsi"/>
          <w:sz w:val="24"/>
          <w:szCs w:val="24"/>
        </w:rPr>
        <w:t>)</w:t>
      </w:r>
      <w:r w:rsidR="00CD4D20">
        <w:rPr>
          <w:rFonts w:cstheme="minorHAnsi"/>
          <w:sz w:val="24"/>
          <w:szCs w:val="24"/>
        </w:rPr>
        <w:t xml:space="preserve">; and 2) excavating contaminated soil </w:t>
      </w:r>
      <w:r w:rsidR="00752429">
        <w:rPr>
          <w:rFonts w:cstheme="minorHAnsi"/>
          <w:sz w:val="24"/>
          <w:szCs w:val="24"/>
        </w:rPr>
        <w:t xml:space="preserve">as </w:t>
      </w:r>
      <w:r w:rsidR="0012527C">
        <w:rPr>
          <w:rFonts w:cstheme="minorHAnsi"/>
          <w:sz w:val="24"/>
          <w:szCs w:val="24"/>
        </w:rPr>
        <w:t xml:space="preserve">necessary to complete a planned ecological restoration project </w:t>
      </w:r>
      <w:r w:rsidR="00813689">
        <w:rPr>
          <w:rFonts w:cstheme="minorHAnsi"/>
          <w:sz w:val="24"/>
          <w:szCs w:val="24"/>
        </w:rPr>
        <w:t xml:space="preserve">in the northern portion of the Site. </w:t>
      </w:r>
      <w:r w:rsidR="008A326F">
        <w:rPr>
          <w:rFonts w:cstheme="minorHAnsi"/>
          <w:sz w:val="24"/>
          <w:szCs w:val="24"/>
        </w:rPr>
        <w:t xml:space="preserve">All hot spot </w:t>
      </w:r>
      <w:proofErr w:type="gramStart"/>
      <w:r w:rsidR="008A326F">
        <w:rPr>
          <w:rFonts w:cstheme="minorHAnsi"/>
          <w:sz w:val="24"/>
          <w:szCs w:val="24"/>
        </w:rPr>
        <w:t>soils</w:t>
      </w:r>
      <w:proofErr w:type="gramEnd"/>
      <w:r w:rsidR="005C3860">
        <w:rPr>
          <w:rFonts w:cstheme="minorHAnsi"/>
          <w:sz w:val="24"/>
          <w:szCs w:val="24"/>
        </w:rPr>
        <w:t xml:space="preserve"> (estimated </w:t>
      </w:r>
      <w:r w:rsidR="00106E60">
        <w:rPr>
          <w:rFonts w:cstheme="minorHAnsi"/>
          <w:sz w:val="24"/>
          <w:szCs w:val="24"/>
        </w:rPr>
        <w:t xml:space="preserve">total of </w:t>
      </w:r>
      <w:r w:rsidR="00704087">
        <w:rPr>
          <w:rFonts w:cstheme="minorHAnsi"/>
          <w:sz w:val="24"/>
          <w:szCs w:val="24"/>
        </w:rPr>
        <w:t>20,00</w:t>
      </w:r>
      <w:r w:rsidR="002B1D7E">
        <w:rPr>
          <w:rFonts w:cstheme="minorHAnsi"/>
          <w:sz w:val="24"/>
          <w:szCs w:val="24"/>
        </w:rPr>
        <w:t>0 yds</w:t>
      </w:r>
      <w:r w:rsidR="004A77C8" w:rsidRPr="005F6EFF">
        <w:rPr>
          <w:rFonts w:cstheme="minorHAnsi"/>
          <w:sz w:val="24"/>
          <w:szCs w:val="24"/>
          <w:vertAlign w:val="superscript"/>
        </w:rPr>
        <w:t>3</w:t>
      </w:r>
      <w:r w:rsidR="004A77C8">
        <w:rPr>
          <w:rFonts w:cstheme="minorHAnsi"/>
          <w:sz w:val="24"/>
          <w:szCs w:val="24"/>
        </w:rPr>
        <w:t xml:space="preserve">) will be </w:t>
      </w:r>
      <w:r w:rsidR="00F44DFF">
        <w:rPr>
          <w:rFonts w:cstheme="minorHAnsi"/>
          <w:sz w:val="24"/>
          <w:szCs w:val="24"/>
        </w:rPr>
        <w:t xml:space="preserve">transported </w:t>
      </w:r>
      <w:r w:rsidR="5CED0D34" w:rsidRPr="00A17C28">
        <w:rPr>
          <w:rFonts w:cstheme="minorHAnsi"/>
          <w:sz w:val="24"/>
          <w:szCs w:val="24"/>
        </w:rPr>
        <w:t xml:space="preserve">to </w:t>
      </w:r>
      <w:r w:rsidR="00704087">
        <w:rPr>
          <w:rFonts w:cstheme="minorHAnsi"/>
          <w:sz w:val="24"/>
          <w:szCs w:val="24"/>
        </w:rPr>
        <w:t xml:space="preserve">either a </w:t>
      </w:r>
      <w:r w:rsidR="5CED0D34" w:rsidRPr="00A17C28">
        <w:rPr>
          <w:rFonts w:cstheme="minorHAnsi"/>
          <w:sz w:val="24"/>
          <w:szCs w:val="24"/>
        </w:rPr>
        <w:t xml:space="preserve">RCRA Subtitle D </w:t>
      </w:r>
      <w:r w:rsidR="0071438E">
        <w:rPr>
          <w:rFonts w:cstheme="minorHAnsi"/>
          <w:sz w:val="24"/>
          <w:szCs w:val="24"/>
        </w:rPr>
        <w:t>or C l</w:t>
      </w:r>
      <w:r w:rsidR="5CED0D34" w:rsidRPr="00A17C28">
        <w:rPr>
          <w:rFonts w:cstheme="minorHAnsi"/>
          <w:sz w:val="24"/>
          <w:szCs w:val="24"/>
        </w:rPr>
        <w:t>andfill</w:t>
      </w:r>
      <w:r w:rsidR="005F6EFF">
        <w:rPr>
          <w:rFonts w:cstheme="minorHAnsi"/>
          <w:sz w:val="24"/>
          <w:szCs w:val="24"/>
        </w:rPr>
        <w:t xml:space="preserve"> for disposal</w:t>
      </w:r>
      <w:r w:rsidR="5CED0D34" w:rsidRPr="00A17C28">
        <w:rPr>
          <w:rFonts w:cstheme="minorHAnsi"/>
          <w:sz w:val="24"/>
          <w:szCs w:val="24"/>
        </w:rPr>
        <w:t xml:space="preserve">. </w:t>
      </w:r>
      <w:r w:rsidR="00675AE8">
        <w:rPr>
          <w:rFonts w:cstheme="minorHAnsi"/>
          <w:sz w:val="24"/>
          <w:szCs w:val="24"/>
        </w:rPr>
        <w:t xml:space="preserve">Ecological restoration </w:t>
      </w:r>
      <w:r w:rsidR="00852C87">
        <w:rPr>
          <w:rFonts w:cstheme="minorHAnsi"/>
          <w:sz w:val="24"/>
          <w:szCs w:val="24"/>
        </w:rPr>
        <w:t>c</w:t>
      </w:r>
      <w:r w:rsidR="00675AE8">
        <w:rPr>
          <w:rFonts w:cstheme="minorHAnsi"/>
          <w:sz w:val="24"/>
          <w:szCs w:val="24"/>
        </w:rPr>
        <w:t xml:space="preserve">ontaminated </w:t>
      </w:r>
      <w:r w:rsidR="00852C87">
        <w:rPr>
          <w:rFonts w:cstheme="minorHAnsi"/>
          <w:sz w:val="24"/>
          <w:szCs w:val="24"/>
        </w:rPr>
        <w:t xml:space="preserve">soil </w:t>
      </w:r>
      <w:r w:rsidR="00C05686">
        <w:rPr>
          <w:rFonts w:cstheme="minorHAnsi"/>
          <w:sz w:val="24"/>
          <w:szCs w:val="24"/>
        </w:rPr>
        <w:t xml:space="preserve">(estimated total of </w:t>
      </w:r>
      <w:r w:rsidR="00AB701F">
        <w:rPr>
          <w:rFonts w:cstheme="minorHAnsi"/>
          <w:sz w:val="24"/>
          <w:szCs w:val="24"/>
        </w:rPr>
        <w:t>108,000 yds</w:t>
      </w:r>
      <w:r w:rsidR="0076558B" w:rsidRPr="0076558B">
        <w:rPr>
          <w:rFonts w:cstheme="minorHAnsi"/>
          <w:sz w:val="24"/>
          <w:szCs w:val="24"/>
          <w:vertAlign w:val="superscript"/>
        </w:rPr>
        <w:t>3</w:t>
      </w:r>
      <w:r w:rsidR="00AB701F">
        <w:rPr>
          <w:rFonts w:cstheme="minorHAnsi"/>
          <w:sz w:val="24"/>
          <w:szCs w:val="24"/>
        </w:rPr>
        <w:t xml:space="preserve">) </w:t>
      </w:r>
      <w:r w:rsidR="00A50853">
        <w:rPr>
          <w:rFonts w:cstheme="minorHAnsi"/>
          <w:sz w:val="24"/>
          <w:szCs w:val="24"/>
        </w:rPr>
        <w:t>will be disposed at a facility yet to be determined</w:t>
      </w:r>
      <w:r w:rsidR="00545808">
        <w:rPr>
          <w:rFonts w:cstheme="minorHAnsi"/>
          <w:sz w:val="24"/>
          <w:szCs w:val="24"/>
        </w:rPr>
        <w:t xml:space="preserve"> </w:t>
      </w:r>
      <w:r w:rsidR="001B2529">
        <w:rPr>
          <w:rFonts w:cstheme="minorHAnsi"/>
          <w:sz w:val="24"/>
          <w:szCs w:val="24"/>
        </w:rPr>
        <w:t>in accordance with</w:t>
      </w:r>
      <w:r w:rsidR="00545808">
        <w:rPr>
          <w:rFonts w:cstheme="minorHAnsi"/>
          <w:sz w:val="24"/>
          <w:szCs w:val="24"/>
        </w:rPr>
        <w:t xml:space="preserve"> a DEQ Solid Waste Letter of Authorization. </w:t>
      </w:r>
      <w:r w:rsidR="007F70CA">
        <w:rPr>
          <w:rFonts w:cstheme="minorHAnsi"/>
          <w:sz w:val="24"/>
          <w:szCs w:val="24"/>
        </w:rPr>
        <w:t>F</w:t>
      </w:r>
      <w:r w:rsidR="004156C7">
        <w:rPr>
          <w:rFonts w:cstheme="minorHAnsi"/>
          <w:sz w:val="24"/>
          <w:szCs w:val="24"/>
        </w:rPr>
        <w:t>ollowing hot spot soil cleanup, confirmation soil sampling will be completed to confirm su</w:t>
      </w:r>
      <w:r w:rsidR="5CED0D34" w:rsidRPr="00A17C28">
        <w:rPr>
          <w:rFonts w:cstheme="minorHAnsi"/>
          <w:sz w:val="24"/>
          <w:szCs w:val="24"/>
        </w:rPr>
        <w:t xml:space="preserve">fficient </w:t>
      </w:r>
      <w:r w:rsidR="004156C7">
        <w:rPr>
          <w:rFonts w:cstheme="minorHAnsi"/>
          <w:sz w:val="24"/>
          <w:szCs w:val="24"/>
        </w:rPr>
        <w:t xml:space="preserve">cleanup. </w:t>
      </w:r>
      <w:r w:rsidR="00667765">
        <w:rPr>
          <w:rFonts w:cstheme="minorHAnsi"/>
          <w:sz w:val="24"/>
          <w:szCs w:val="24"/>
        </w:rPr>
        <w:t xml:space="preserve">As </w:t>
      </w:r>
      <w:r w:rsidR="00086744">
        <w:rPr>
          <w:rFonts w:cstheme="minorHAnsi"/>
          <w:sz w:val="24"/>
          <w:szCs w:val="24"/>
        </w:rPr>
        <w:t>ecological restor</w:t>
      </w:r>
      <w:r w:rsidR="00207E7E">
        <w:rPr>
          <w:rFonts w:cstheme="minorHAnsi"/>
          <w:sz w:val="24"/>
          <w:szCs w:val="24"/>
        </w:rPr>
        <w:t xml:space="preserve">ation </w:t>
      </w:r>
      <w:r w:rsidR="00044675">
        <w:rPr>
          <w:rFonts w:cstheme="minorHAnsi"/>
          <w:sz w:val="24"/>
          <w:szCs w:val="24"/>
        </w:rPr>
        <w:t>soil cleanup will expose underlying bedrock, confirmation soil sampling will not be feasible or necessary.</w:t>
      </w:r>
    </w:p>
    <w:p w14:paraId="1549E355" w14:textId="4B961CCD" w:rsidR="00410B45" w:rsidRPr="000B67FD" w:rsidRDefault="00384FCB" w:rsidP="00F63602">
      <w:pPr>
        <w:widowControl w:val="0"/>
        <w:spacing w:before="60" w:after="60" w:line="26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t>3.</w:t>
      </w:r>
      <w:r w:rsidR="004F022D" w:rsidRPr="000B67FD">
        <w:rPr>
          <w:rFonts w:cstheme="minorHAnsi"/>
          <w:b/>
          <w:spacing w:val="-8"/>
          <w:sz w:val="24"/>
          <w:szCs w:val="24"/>
          <w:u w:val="single"/>
        </w:rPr>
        <w:t>b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505EDE" w:rsidRPr="000B67FD">
        <w:rPr>
          <w:rFonts w:cstheme="minorHAnsi"/>
          <w:b/>
          <w:spacing w:val="-8"/>
          <w:sz w:val="24"/>
          <w:szCs w:val="24"/>
          <w:u w:val="single"/>
        </w:rPr>
        <w:t xml:space="preserve">, c, d, and e: 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>Description of Tasks</w:t>
      </w:r>
      <w:r w:rsidR="009F6023" w:rsidRPr="000B67FD">
        <w:rPr>
          <w:rFonts w:cstheme="minorHAnsi"/>
          <w:b/>
          <w:spacing w:val="-8"/>
          <w:sz w:val="24"/>
          <w:szCs w:val="24"/>
          <w:u w:val="single"/>
        </w:rPr>
        <w:t>/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>Activities</w:t>
      </w:r>
      <w:r w:rsidR="009F6023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</w:t>
      </w:r>
      <w:r w:rsidR="004F022D" w:rsidRPr="000B67FD">
        <w:rPr>
          <w:rFonts w:cstheme="minorHAnsi"/>
          <w:b/>
          <w:spacing w:val="-8"/>
          <w:sz w:val="24"/>
          <w:szCs w:val="24"/>
          <w:u w:val="single"/>
        </w:rPr>
        <w:t>and</w:t>
      </w:r>
      <w:r w:rsidR="009F6023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Outputs</w:t>
      </w:r>
      <w:r w:rsidR="00920447" w:rsidRPr="000B67FD">
        <w:rPr>
          <w:rFonts w:cstheme="minorHAnsi"/>
          <w:b/>
          <w:spacing w:val="-8"/>
          <w:sz w:val="24"/>
          <w:szCs w:val="24"/>
        </w:rPr>
        <w:t xml:space="preserve">: </w:t>
      </w:r>
      <w:r w:rsidR="002A404F" w:rsidRPr="000B67FD">
        <w:rPr>
          <w:rFonts w:cstheme="minorHAnsi"/>
          <w:sz w:val="24"/>
          <w:szCs w:val="24"/>
        </w:rPr>
        <w:t xml:space="preserve">EPA grant funded activities are described below. </w:t>
      </w:r>
    </w:p>
    <w:tbl>
      <w:tblPr>
        <w:tblStyle w:val="TableGrid"/>
        <w:tblW w:w="10047" w:type="dxa"/>
        <w:jc w:val="center"/>
        <w:tblLook w:val="04A0" w:firstRow="1" w:lastRow="0" w:firstColumn="1" w:lastColumn="0" w:noHBand="0" w:noVBand="1"/>
      </w:tblPr>
      <w:tblGrid>
        <w:gridCol w:w="3645"/>
        <w:gridCol w:w="1416"/>
        <w:gridCol w:w="192"/>
        <w:gridCol w:w="4794"/>
      </w:tblGrid>
      <w:tr w:rsidR="005F153E" w:rsidRPr="000B67FD" w14:paraId="706735BF" w14:textId="77777777" w:rsidTr="009C09C2">
        <w:trPr>
          <w:trHeight w:val="350"/>
          <w:jc w:val="center"/>
        </w:trPr>
        <w:tc>
          <w:tcPr>
            <w:tcW w:w="3645" w:type="dxa"/>
            <w:shd w:val="clear" w:color="auto" w:fill="D9D9D9" w:themeFill="background1" w:themeFillShade="D9"/>
            <w:vAlign w:val="center"/>
          </w:tcPr>
          <w:p w14:paraId="086B7C49" w14:textId="77777777" w:rsidR="005F153E" w:rsidRPr="000B67FD" w:rsidRDefault="005F153E" w:rsidP="00410B45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0B67FD">
              <w:rPr>
                <w:rFonts w:cstheme="minorHAnsi"/>
                <w:b/>
                <w:sz w:val="24"/>
                <w:szCs w:val="24"/>
              </w:rPr>
              <w:t>TASK 1: PROJECT MANAGEMENT</w:t>
            </w:r>
          </w:p>
        </w:tc>
        <w:tc>
          <w:tcPr>
            <w:tcW w:w="6402" w:type="dxa"/>
            <w:gridSpan w:val="3"/>
            <w:shd w:val="clear" w:color="auto" w:fill="D9D9D9" w:themeFill="background1" w:themeFillShade="D9"/>
            <w:vAlign w:val="center"/>
          </w:tcPr>
          <w:p w14:paraId="1E8BB338" w14:textId="47237BC8" w:rsidR="005F153E" w:rsidRPr="000B67FD" w:rsidRDefault="72034D55" w:rsidP="66634F82">
            <w:pPr>
              <w:autoSpaceDE w:val="0"/>
              <w:autoSpaceDN w:val="0"/>
              <w:adjustRightInd w:val="0"/>
              <w:spacing w:before="20" w:after="20" w:line="256" w:lineRule="exact"/>
              <w:rPr>
                <w:b/>
                <w:bCs/>
                <w:sz w:val="24"/>
                <w:szCs w:val="24"/>
              </w:rPr>
            </w:pPr>
            <w:r w:rsidRPr="66634F82">
              <w:rPr>
                <w:b/>
                <w:bCs/>
                <w:sz w:val="24"/>
                <w:szCs w:val="24"/>
              </w:rPr>
              <w:t xml:space="preserve">Lead: </w:t>
            </w:r>
            <w:r w:rsidR="4E5DF68D" w:rsidRPr="66634F82">
              <w:rPr>
                <w:sz w:val="24"/>
                <w:szCs w:val="24"/>
              </w:rPr>
              <w:t>CTGR</w:t>
            </w:r>
            <w:r w:rsidRPr="66634F82">
              <w:rPr>
                <w:sz w:val="24"/>
                <w:szCs w:val="24"/>
              </w:rPr>
              <w:t xml:space="preserve"> assisted by QEP</w:t>
            </w:r>
          </w:p>
        </w:tc>
      </w:tr>
      <w:tr w:rsidR="005F153E" w:rsidRPr="000B67FD" w14:paraId="21655C4D" w14:textId="77777777" w:rsidTr="66634F82">
        <w:trPr>
          <w:jc w:val="center"/>
        </w:trPr>
        <w:tc>
          <w:tcPr>
            <w:tcW w:w="10047" w:type="dxa"/>
            <w:gridSpan w:val="4"/>
            <w:vAlign w:val="center"/>
          </w:tcPr>
          <w:p w14:paraId="030369BD" w14:textId="07F49A64" w:rsidR="008E5B61" w:rsidRDefault="72034D55" w:rsidP="006D792A">
            <w:pPr>
              <w:pStyle w:val="ListParagraph"/>
              <w:autoSpaceDE w:val="0"/>
              <w:autoSpaceDN w:val="0"/>
              <w:adjustRightInd w:val="0"/>
              <w:spacing w:before="40" w:after="40" w:line="240" w:lineRule="exact"/>
              <w:ind w:left="0"/>
              <w:contextualSpacing w:val="0"/>
              <w:rPr>
                <w:sz w:val="24"/>
                <w:szCs w:val="24"/>
              </w:rPr>
            </w:pPr>
            <w:r w:rsidRPr="66634F82">
              <w:rPr>
                <w:b/>
                <w:bCs/>
                <w:sz w:val="24"/>
                <w:szCs w:val="24"/>
              </w:rPr>
              <w:t xml:space="preserve">Implementation: </w:t>
            </w:r>
            <w:r w:rsidR="17A1BF61" w:rsidRPr="66634F82">
              <w:rPr>
                <w:sz w:val="24"/>
                <w:szCs w:val="24"/>
              </w:rPr>
              <w:t>CTGR</w:t>
            </w:r>
            <w:r w:rsidRPr="66634F82">
              <w:rPr>
                <w:sz w:val="24"/>
                <w:szCs w:val="24"/>
              </w:rPr>
              <w:t xml:space="preserve"> monitor project scope, schedule, </w:t>
            </w:r>
            <w:r w:rsidR="004A775A" w:rsidRPr="66634F82">
              <w:rPr>
                <w:sz w:val="24"/>
                <w:szCs w:val="24"/>
              </w:rPr>
              <w:t xml:space="preserve">budget, </w:t>
            </w:r>
            <w:r w:rsidRPr="66634F82">
              <w:rPr>
                <w:sz w:val="24"/>
                <w:szCs w:val="24"/>
              </w:rPr>
              <w:t xml:space="preserve">and compliance with grant terms and conditions including </w:t>
            </w:r>
            <w:r w:rsidR="003469DB" w:rsidRPr="66634F82">
              <w:rPr>
                <w:sz w:val="24"/>
                <w:szCs w:val="24"/>
              </w:rPr>
              <w:t xml:space="preserve">timely </w:t>
            </w:r>
            <w:r w:rsidRPr="66634F82">
              <w:rPr>
                <w:sz w:val="24"/>
                <w:szCs w:val="24"/>
              </w:rPr>
              <w:t xml:space="preserve">reporting and drawdowns. </w:t>
            </w:r>
            <w:r w:rsidR="008F6A9D" w:rsidRPr="66634F82">
              <w:rPr>
                <w:sz w:val="24"/>
                <w:szCs w:val="24"/>
              </w:rPr>
              <w:t xml:space="preserve">After grant </w:t>
            </w:r>
            <w:proofErr w:type="gramStart"/>
            <w:r w:rsidR="008F6A9D" w:rsidRPr="66634F82">
              <w:rPr>
                <w:sz w:val="24"/>
                <w:szCs w:val="24"/>
              </w:rPr>
              <w:t>award</w:t>
            </w:r>
            <w:proofErr w:type="gramEnd"/>
            <w:r w:rsidR="008F6A9D" w:rsidRPr="66634F82">
              <w:rPr>
                <w:sz w:val="24"/>
                <w:szCs w:val="24"/>
              </w:rPr>
              <w:t xml:space="preserve"> but prior to the start of the grant term, </w:t>
            </w:r>
            <w:r w:rsidR="112F8725" w:rsidRPr="66634F82">
              <w:rPr>
                <w:sz w:val="24"/>
                <w:szCs w:val="24"/>
              </w:rPr>
              <w:t>CTGR</w:t>
            </w:r>
            <w:r w:rsidRPr="66634F82">
              <w:rPr>
                <w:sz w:val="24"/>
                <w:szCs w:val="24"/>
              </w:rPr>
              <w:t xml:space="preserve"> will procure a Qualified Environmental Professional (QEP) </w:t>
            </w:r>
            <w:r w:rsidR="004A775A" w:rsidRPr="66634F82">
              <w:rPr>
                <w:sz w:val="24"/>
                <w:szCs w:val="24"/>
              </w:rPr>
              <w:t>through a</w:t>
            </w:r>
            <w:r w:rsidR="00D37309">
              <w:rPr>
                <w:sz w:val="24"/>
                <w:szCs w:val="24"/>
              </w:rPr>
              <w:t xml:space="preserve">n EPA </w:t>
            </w:r>
            <w:r w:rsidR="00E710EC">
              <w:rPr>
                <w:sz w:val="24"/>
                <w:szCs w:val="24"/>
              </w:rPr>
              <w:t xml:space="preserve">procurement compliant </w:t>
            </w:r>
            <w:r w:rsidR="004A775A" w:rsidRPr="66634F82">
              <w:rPr>
                <w:sz w:val="24"/>
                <w:szCs w:val="24"/>
              </w:rPr>
              <w:t>process</w:t>
            </w:r>
            <w:r w:rsidR="008F6A9D" w:rsidRPr="66634F82">
              <w:rPr>
                <w:sz w:val="24"/>
                <w:szCs w:val="24"/>
              </w:rPr>
              <w:t>. Early procurement of the QEP will ensure th</w:t>
            </w:r>
            <w:r w:rsidR="7F9009C3" w:rsidRPr="66634F82">
              <w:rPr>
                <w:sz w:val="24"/>
                <w:szCs w:val="24"/>
              </w:rPr>
              <w:t>at CTGR</w:t>
            </w:r>
            <w:r w:rsidR="008F6A9D" w:rsidRPr="66634F82">
              <w:rPr>
                <w:sz w:val="24"/>
                <w:szCs w:val="24"/>
              </w:rPr>
              <w:t xml:space="preserve"> and </w:t>
            </w:r>
            <w:r w:rsidR="0AD67565" w:rsidRPr="66634F82">
              <w:rPr>
                <w:sz w:val="24"/>
                <w:szCs w:val="24"/>
              </w:rPr>
              <w:t xml:space="preserve">the </w:t>
            </w:r>
            <w:r w:rsidR="008F6A9D" w:rsidRPr="66634F82">
              <w:rPr>
                <w:sz w:val="24"/>
                <w:szCs w:val="24"/>
              </w:rPr>
              <w:t>QEP can begin grant activities at the very start of the grant term.</w:t>
            </w:r>
            <w:r w:rsidR="10CF10C3" w:rsidRPr="66634F82">
              <w:rPr>
                <w:sz w:val="24"/>
                <w:szCs w:val="24"/>
              </w:rPr>
              <w:t xml:space="preserve"> Supported by its QEP, CTGR will prepare a</w:t>
            </w:r>
            <w:r w:rsidR="2E9BFF4C" w:rsidRPr="66634F82">
              <w:rPr>
                <w:sz w:val="24"/>
                <w:szCs w:val="24"/>
              </w:rPr>
              <w:t>n</w:t>
            </w:r>
            <w:r w:rsidR="10CF10C3" w:rsidRPr="66634F82">
              <w:rPr>
                <w:sz w:val="24"/>
                <w:szCs w:val="24"/>
              </w:rPr>
              <w:t xml:space="preserve"> </w:t>
            </w:r>
            <w:r w:rsidR="5FFE046D" w:rsidRPr="66634F82">
              <w:rPr>
                <w:sz w:val="24"/>
                <w:szCs w:val="24"/>
              </w:rPr>
              <w:t xml:space="preserve">EPA compliant </w:t>
            </w:r>
            <w:r w:rsidR="10CF10C3" w:rsidRPr="66634F82">
              <w:rPr>
                <w:sz w:val="24"/>
                <w:szCs w:val="24"/>
              </w:rPr>
              <w:t xml:space="preserve">Request for Proposal </w:t>
            </w:r>
            <w:r w:rsidR="00DD080B">
              <w:rPr>
                <w:sz w:val="24"/>
                <w:szCs w:val="24"/>
              </w:rPr>
              <w:t xml:space="preserve">(RFP) </w:t>
            </w:r>
            <w:r w:rsidR="3F7E8792" w:rsidRPr="66634F82">
              <w:rPr>
                <w:sz w:val="24"/>
                <w:szCs w:val="24"/>
              </w:rPr>
              <w:t>to select a remediation contractor.</w:t>
            </w:r>
          </w:p>
          <w:p w14:paraId="4285C863" w14:textId="6F8896C8" w:rsidR="002671BE" w:rsidRPr="000B67FD" w:rsidRDefault="000B479E" w:rsidP="006D792A">
            <w:pPr>
              <w:pStyle w:val="ListParagraph"/>
              <w:autoSpaceDE w:val="0"/>
              <w:autoSpaceDN w:val="0"/>
              <w:adjustRightInd w:val="0"/>
              <w:spacing w:before="120" w:after="40" w:line="24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management </w:t>
            </w:r>
            <w:r w:rsidR="00DD0F5F" w:rsidRPr="00DD0F5F">
              <w:rPr>
                <w:sz w:val="24"/>
                <w:szCs w:val="24"/>
              </w:rPr>
              <w:t xml:space="preserve">activities </w:t>
            </w:r>
            <w:r w:rsidR="005663A8">
              <w:rPr>
                <w:sz w:val="24"/>
                <w:szCs w:val="24"/>
              </w:rPr>
              <w:t xml:space="preserve">also </w:t>
            </w:r>
            <w:r w:rsidR="00DD0F5F" w:rsidRPr="00DD0F5F">
              <w:rPr>
                <w:sz w:val="24"/>
                <w:szCs w:val="24"/>
              </w:rPr>
              <w:t xml:space="preserve">will include: 1) quarterly reporting; </w:t>
            </w:r>
            <w:r w:rsidR="003631DD">
              <w:rPr>
                <w:sz w:val="24"/>
                <w:szCs w:val="24"/>
              </w:rPr>
              <w:t>2</w:t>
            </w:r>
            <w:r w:rsidR="00DD0F5F" w:rsidRPr="00DD0F5F">
              <w:rPr>
                <w:sz w:val="24"/>
                <w:szCs w:val="24"/>
              </w:rPr>
              <w:t xml:space="preserve">) annual financial reporting; </w:t>
            </w:r>
            <w:r w:rsidR="003631DD">
              <w:rPr>
                <w:sz w:val="24"/>
                <w:szCs w:val="24"/>
              </w:rPr>
              <w:t>3</w:t>
            </w:r>
            <w:r w:rsidR="00DD0F5F" w:rsidRPr="00DD0F5F">
              <w:rPr>
                <w:sz w:val="24"/>
                <w:szCs w:val="24"/>
              </w:rPr>
              <w:t xml:space="preserve">) entries in the EPA Assessment, Cleanup and Redevelopment Exchange System (ACRES) database; and </w:t>
            </w:r>
            <w:r w:rsidR="003631DD">
              <w:rPr>
                <w:sz w:val="24"/>
                <w:szCs w:val="24"/>
              </w:rPr>
              <w:t>4</w:t>
            </w:r>
            <w:r w:rsidR="00DD0F5F" w:rsidRPr="00DD0F5F">
              <w:rPr>
                <w:sz w:val="24"/>
                <w:szCs w:val="24"/>
              </w:rPr>
              <w:t xml:space="preserve">) grant closeout reporting. </w:t>
            </w:r>
            <w:r w:rsidR="0015189C">
              <w:rPr>
                <w:sz w:val="24"/>
                <w:szCs w:val="24"/>
              </w:rPr>
              <w:t xml:space="preserve">CTGR will attend </w:t>
            </w:r>
            <w:r>
              <w:rPr>
                <w:sz w:val="24"/>
                <w:szCs w:val="24"/>
              </w:rPr>
              <w:t xml:space="preserve">two </w:t>
            </w:r>
            <w:r w:rsidR="00DD0F5F" w:rsidRPr="00DD0F5F">
              <w:rPr>
                <w:sz w:val="24"/>
                <w:szCs w:val="24"/>
              </w:rPr>
              <w:t>brownfield conferences</w:t>
            </w:r>
            <w:r>
              <w:rPr>
                <w:sz w:val="24"/>
                <w:szCs w:val="24"/>
              </w:rPr>
              <w:t xml:space="preserve"> during the grant term, but all conference fees and travel costs will be paid by CTGR</w:t>
            </w:r>
            <w:r w:rsidR="00DD0F5F" w:rsidRPr="00DD0F5F">
              <w:rPr>
                <w:sz w:val="24"/>
                <w:szCs w:val="24"/>
              </w:rPr>
              <w:t>.</w:t>
            </w:r>
          </w:p>
        </w:tc>
      </w:tr>
      <w:tr w:rsidR="005F153E" w:rsidRPr="000B67FD" w14:paraId="416C650E" w14:textId="77777777" w:rsidTr="66634F82">
        <w:trPr>
          <w:jc w:val="center"/>
        </w:trPr>
        <w:tc>
          <w:tcPr>
            <w:tcW w:w="10047" w:type="dxa"/>
            <w:gridSpan w:val="4"/>
            <w:vAlign w:val="center"/>
          </w:tcPr>
          <w:p w14:paraId="4892C3BF" w14:textId="1EDE1AF0" w:rsidR="005F153E" w:rsidRPr="000B67FD" w:rsidRDefault="72034D55" w:rsidP="66634F82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66634F82">
              <w:rPr>
                <w:rFonts w:asciiTheme="minorHAnsi" w:hAnsiTheme="minorHAnsi"/>
              </w:rPr>
              <w:t xml:space="preserve">Schedule: </w:t>
            </w:r>
            <w:r w:rsidR="7A884FA5" w:rsidRPr="66634F82">
              <w:rPr>
                <w:rFonts w:asciiTheme="minorHAnsi" w:hAnsiTheme="minorHAnsi"/>
                <w:b w:val="0"/>
                <w:bCs w:val="0"/>
              </w:rPr>
              <w:t>CTGR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 will complete all quarterly and annual reporting on time. </w:t>
            </w:r>
            <w:r w:rsidR="2698BB86" w:rsidRPr="66634F82">
              <w:rPr>
                <w:rFonts w:asciiTheme="minorHAnsi" w:hAnsiTheme="minorHAnsi"/>
                <w:b w:val="0"/>
                <w:bCs w:val="0"/>
              </w:rPr>
              <w:t xml:space="preserve">CTGR anticipates selecting a QEP prior to 10/1/26, and a remediation contractor prior to 3/1/27. </w:t>
            </w:r>
            <w:r w:rsidR="67616247" w:rsidRPr="66634F82">
              <w:rPr>
                <w:rFonts w:asciiTheme="minorHAnsi" w:hAnsiTheme="minorHAnsi"/>
                <w:b w:val="0"/>
                <w:bCs w:val="0"/>
              </w:rPr>
              <w:t>CTGR will complete a</w:t>
            </w:r>
            <w:r w:rsidR="1EDC41B1" w:rsidRPr="66634F82">
              <w:rPr>
                <w:rFonts w:asciiTheme="minorHAnsi" w:hAnsiTheme="minorHAnsi"/>
                <w:b w:val="0"/>
                <w:bCs w:val="0"/>
              </w:rPr>
              <w:t xml:space="preserve"> grant closeout report within 90 days of end of </w:t>
            </w:r>
            <w:r w:rsidR="7B6C461C" w:rsidRPr="66634F82">
              <w:rPr>
                <w:rFonts w:asciiTheme="minorHAnsi" w:hAnsiTheme="minorHAnsi"/>
                <w:b w:val="0"/>
                <w:bCs w:val="0"/>
              </w:rPr>
              <w:t xml:space="preserve">the </w:t>
            </w:r>
            <w:r w:rsidR="1EDC41B1" w:rsidRPr="66634F82">
              <w:rPr>
                <w:rFonts w:asciiTheme="minorHAnsi" w:hAnsiTheme="minorHAnsi"/>
                <w:b w:val="0"/>
                <w:bCs w:val="0"/>
              </w:rPr>
              <w:t>grant term.</w:t>
            </w:r>
          </w:p>
        </w:tc>
      </w:tr>
      <w:tr w:rsidR="005F153E" w:rsidRPr="000B67FD" w14:paraId="68D75A04" w14:textId="77777777" w:rsidTr="66634F82">
        <w:trPr>
          <w:jc w:val="center"/>
        </w:trPr>
        <w:tc>
          <w:tcPr>
            <w:tcW w:w="10047" w:type="dxa"/>
            <w:gridSpan w:val="4"/>
            <w:vAlign w:val="center"/>
          </w:tcPr>
          <w:p w14:paraId="766DAEC9" w14:textId="4AF60D61" w:rsidR="005F153E" w:rsidRPr="000B67FD" w:rsidRDefault="72034D55" w:rsidP="66634F82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  <w:b w:val="0"/>
                <w:bCs w:val="0"/>
              </w:rPr>
            </w:pPr>
            <w:r w:rsidRPr="66634F82">
              <w:rPr>
                <w:rFonts w:asciiTheme="minorHAnsi" w:hAnsiTheme="minorHAnsi"/>
              </w:rPr>
              <w:t>Outputs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: Quarterly </w:t>
            </w:r>
            <w:r w:rsidR="00DD080B">
              <w:rPr>
                <w:rFonts w:asciiTheme="minorHAnsi" w:hAnsiTheme="minorHAnsi"/>
                <w:b w:val="0"/>
                <w:bCs w:val="0"/>
              </w:rPr>
              <w:t>r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eports; EPA ACRES database updates at project milestones; </w:t>
            </w:r>
            <w:r w:rsidR="00DD080B">
              <w:rPr>
                <w:rFonts w:asciiTheme="minorHAnsi" w:hAnsiTheme="minorHAnsi"/>
                <w:b w:val="0"/>
                <w:bCs w:val="0"/>
              </w:rPr>
              <w:t>a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nnual </w:t>
            </w:r>
            <w:r w:rsidR="00DD080B">
              <w:rPr>
                <w:rFonts w:asciiTheme="minorHAnsi" w:hAnsiTheme="minorHAnsi"/>
                <w:b w:val="0"/>
                <w:bCs w:val="0"/>
              </w:rPr>
              <w:t>f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inancial </w:t>
            </w:r>
            <w:r w:rsidR="00DD080B">
              <w:rPr>
                <w:rFonts w:asciiTheme="minorHAnsi" w:hAnsiTheme="minorHAnsi"/>
                <w:b w:val="0"/>
                <w:bCs w:val="0"/>
              </w:rPr>
              <w:t>r</w:t>
            </w:r>
            <w:r w:rsidRPr="66634F82">
              <w:rPr>
                <w:rFonts w:asciiTheme="minorHAnsi" w:hAnsiTheme="minorHAnsi"/>
                <w:b w:val="0"/>
                <w:bCs w:val="0"/>
              </w:rPr>
              <w:t>eport</w:t>
            </w:r>
            <w:r w:rsidR="00DD080B">
              <w:rPr>
                <w:rFonts w:asciiTheme="minorHAnsi" w:hAnsiTheme="minorHAnsi"/>
                <w:b w:val="0"/>
                <w:bCs w:val="0"/>
              </w:rPr>
              <w:t>s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; </w:t>
            </w:r>
            <w:r w:rsidR="00DD080B">
              <w:rPr>
                <w:rFonts w:asciiTheme="minorHAnsi" w:hAnsiTheme="minorHAnsi"/>
                <w:b w:val="0"/>
                <w:bCs w:val="0"/>
              </w:rPr>
              <w:t>g</w:t>
            </w:r>
            <w:r w:rsidR="1EDC41B1" w:rsidRPr="66634F82">
              <w:rPr>
                <w:rFonts w:asciiTheme="minorHAnsi" w:hAnsiTheme="minorHAnsi"/>
                <w:b w:val="0"/>
                <w:bCs w:val="0"/>
              </w:rPr>
              <w:t>rant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 </w:t>
            </w:r>
            <w:r w:rsidR="00DD080B">
              <w:rPr>
                <w:rFonts w:asciiTheme="minorHAnsi" w:hAnsiTheme="minorHAnsi"/>
                <w:b w:val="0"/>
                <w:bCs w:val="0"/>
              </w:rPr>
              <w:t>c</w:t>
            </w:r>
            <w:r w:rsidRPr="66634F82">
              <w:rPr>
                <w:rFonts w:asciiTheme="minorHAnsi" w:hAnsiTheme="minorHAnsi"/>
                <w:b w:val="0"/>
                <w:bCs w:val="0"/>
              </w:rPr>
              <w:t xml:space="preserve">loseout </w:t>
            </w:r>
            <w:r w:rsidR="00DD080B">
              <w:rPr>
                <w:rFonts w:asciiTheme="minorHAnsi" w:hAnsiTheme="minorHAnsi"/>
                <w:b w:val="0"/>
                <w:bCs w:val="0"/>
              </w:rPr>
              <w:t>r</w:t>
            </w:r>
            <w:r w:rsidRPr="66634F82">
              <w:rPr>
                <w:rFonts w:asciiTheme="minorHAnsi" w:hAnsiTheme="minorHAnsi"/>
                <w:b w:val="0"/>
                <w:bCs w:val="0"/>
              </w:rPr>
              <w:t>eport</w:t>
            </w:r>
            <w:r w:rsidR="75D8FF0B" w:rsidRPr="66634F82">
              <w:rPr>
                <w:rFonts w:asciiTheme="minorHAnsi" w:hAnsiTheme="minorHAnsi"/>
                <w:b w:val="0"/>
                <w:bCs w:val="0"/>
              </w:rPr>
              <w:t>; and RFPs for QEP and remediation contractor procurement</w:t>
            </w:r>
            <w:r w:rsidRPr="66634F82">
              <w:rPr>
                <w:rFonts w:asciiTheme="minorHAnsi" w:hAnsiTheme="minorHAnsi"/>
                <w:b w:val="0"/>
                <w:bCs w:val="0"/>
              </w:rPr>
              <w:t>.</w:t>
            </w:r>
          </w:p>
        </w:tc>
      </w:tr>
      <w:tr w:rsidR="00C72AB4" w:rsidRPr="000B67FD" w14:paraId="46940E88" w14:textId="77777777" w:rsidTr="009C09C2">
        <w:trPr>
          <w:jc w:val="center"/>
        </w:trPr>
        <w:tc>
          <w:tcPr>
            <w:tcW w:w="5061" w:type="dxa"/>
            <w:gridSpan w:val="2"/>
            <w:shd w:val="clear" w:color="auto" w:fill="D9D9D9" w:themeFill="background1" w:themeFillShade="D9"/>
            <w:vAlign w:val="center"/>
          </w:tcPr>
          <w:p w14:paraId="295B9E93" w14:textId="401BA6E0" w:rsidR="00C72AB4" w:rsidRPr="66634F82" w:rsidRDefault="00C72AB4" w:rsidP="00C72AB4">
            <w:pPr>
              <w:autoSpaceDE w:val="0"/>
              <w:autoSpaceDN w:val="0"/>
              <w:adjustRightInd w:val="0"/>
              <w:spacing w:before="20" w:after="20" w:line="240" w:lineRule="exact"/>
            </w:pPr>
            <w:r w:rsidRPr="00C72AB4">
              <w:rPr>
                <w:rFonts w:cstheme="minorHAnsi"/>
                <w:b/>
                <w:sz w:val="24"/>
                <w:szCs w:val="24"/>
              </w:rPr>
              <w:t>T</w:t>
            </w:r>
            <w:r>
              <w:rPr>
                <w:rFonts w:cstheme="minorHAnsi"/>
                <w:b/>
                <w:sz w:val="24"/>
                <w:szCs w:val="24"/>
              </w:rPr>
              <w:t>ASK</w:t>
            </w:r>
            <w:r w:rsidRPr="00C72AB4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Pr="00C72AB4">
              <w:rPr>
                <w:rFonts w:cstheme="minorHAnsi"/>
                <w:b/>
                <w:sz w:val="24"/>
                <w:szCs w:val="24"/>
              </w:rPr>
              <w:t>: C</w:t>
            </w:r>
            <w:r>
              <w:rPr>
                <w:rFonts w:cstheme="minorHAnsi"/>
                <w:b/>
                <w:sz w:val="24"/>
                <w:szCs w:val="24"/>
              </w:rPr>
              <w:t>OMMUNITY ENGAGEMENT</w:t>
            </w:r>
          </w:p>
        </w:tc>
        <w:tc>
          <w:tcPr>
            <w:tcW w:w="4986" w:type="dxa"/>
            <w:gridSpan w:val="2"/>
            <w:shd w:val="clear" w:color="auto" w:fill="D9D9D9" w:themeFill="background1" w:themeFillShade="D9"/>
            <w:vAlign w:val="center"/>
          </w:tcPr>
          <w:p w14:paraId="4F8F4698" w14:textId="0977A5AA" w:rsidR="00C72AB4" w:rsidRPr="66634F82" w:rsidRDefault="00C72AB4" w:rsidP="00C72AB4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</w:rPr>
            </w:pPr>
            <w:r w:rsidRPr="000B67FD">
              <w:rPr>
                <w:rFonts w:asciiTheme="minorHAnsi" w:hAnsiTheme="minorHAnsi" w:cstheme="minorHAnsi"/>
                <w:bCs w:val="0"/>
              </w:rPr>
              <w:t xml:space="preserve">Lead: </w:t>
            </w:r>
            <w:r w:rsidR="004842CE">
              <w:rPr>
                <w:rFonts w:asciiTheme="minorHAnsi" w:hAnsiTheme="minorHAnsi" w:cstheme="minorHAnsi"/>
                <w:b w:val="0"/>
              </w:rPr>
              <w:t>CTGR</w:t>
            </w:r>
            <w:r w:rsidRPr="000B67FD">
              <w:rPr>
                <w:rFonts w:asciiTheme="minorHAnsi" w:hAnsiTheme="minorHAnsi" w:cstheme="minorHAnsi"/>
                <w:b w:val="0"/>
              </w:rPr>
              <w:t xml:space="preserve"> assisted by the QEP</w:t>
            </w:r>
          </w:p>
        </w:tc>
      </w:tr>
      <w:tr w:rsidR="00351AFC" w:rsidRPr="000B67FD" w14:paraId="5054485D" w14:textId="77777777">
        <w:trPr>
          <w:jc w:val="center"/>
        </w:trPr>
        <w:tc>
          <w:tcPr>
            <w:tcW w:w="10047" w:type="dxa"/>
            <w:gridSpan w:val="4"/>
          </w:tcPr>
          <w:p w14:paraId="567E8F82" w14:textId="3F87D159" w:rsidR="00351AFC" w:rsidRPr="66634F82" w:rsidRDefault="00351AFC" w:rsidP="00351AFC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</w:rPr>
            </w:pPr>
            <w:r w:rsidRPr="000B67FD">
              <w:rPr>
                <w:rFonts w:asciiTheme="minorHAnsi" w:hAnsiTheme="minorHAnsi" w:cstheme="minorHAnsi"/>
              </w:rPr>
              <w:t>Implementation: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1) Prepare Public Involvement Plan (PIP); 2) Hold at least </w:t>
            </w:r>
            <w:r w:rsidR="00B20EF1">
              <w:rPr>
                <w:rFonts w:asciiTheme="minorHAnsi" w:hAnsiTheme="minorHAnsi" w:cstheme="minorHAnsi"/>
                <w:b w:val="0"/>
                <w:bCs w:val="0"/>
              </w:rPr>
              <w:t>three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community meetings (virtual or in-person) during the grant term and post recordings of virtual meetings on </w:t>
            </w:r>
            <w:r w:rsidR="00B20EF1">
              <w:rPr>
                <w:rFonts w:asciiTheme="minorHAnsi" w:hAnsiTheme="minorHAnsi" w:cstheme="minorHAnsi"/>
                <w:b w:val="0"/>
                <w:bCs w:val="0"/>
              </w:rPr>
              <w:t>CTGR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and partner websites; 3) Prepare outreach materials including fact sheets, press releases, website/Facebook page project updates, articles</w:t>
            </w:r>
            <w:r w:rsidR="0016692F">
              <w:rPr>
                <w:rFonts w:asciiTheme="minorHAnsi" w:hAnsiTheme="minorHAnsi" w:cstheme="minorHAnsi"/>
                <w:b w:val="0"/>
                <w:bCs w:val="0"/>
              </w:rPr>
              <w:t xml:space="preserve"> in CTGR’s </w:t>
            </w:r>
            <w:r w:rsidR="004C225F">
              <w:rPr>
                <w:rFonts w:asciiTheme="minorHAnsi" w:hAnsiTheme="minorHAnsi" w:cstheme="minorHAnsi"/>
                <w:b w:val="0"/>
                <w:bCs w:val="0"/>
              </w:rPr>
              <w:t>Smoke Signals</w:t>
            </w:r>
            <w:r w:rsidR="004C556F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403940">
              <w:rPr>
                <w:rFonts w:asciiTheme="minorHAnsi" w:hAnsiTheme="minorHAnsi" w:cstheme="minorHAnsi"/>
                <w:b w:val="0"/>
                <w:bCs w:val="0"/>
              </w:rPr>
              <w:t xml:space="preserve">independent </w:t>
            </w:r>
            <w:r w:rsidR="009447DA">
              <w:rPr>
                <w:rFonts w:asciiTheme="minorHAnsi" w:hAnsiTheme="minorHAnsi" w:cstheme="minorHAnsi"/>
                <w:b w:val="0"/>
                <w:bCs w:val="0"/>
              </w:rPr>
              <w:t>newspaper</w:t>
            </w:r>
            <w:r w:rsidR="00171B66">
              <w:rPr>
                <w:rFonts w:asciiTheme="minorHAnsi" w:hAnsiTheme="minorHAnsi" w:cstheme="minorHAnsi"/>
                <w:b w:val="0"/>
                <w:bCs w:val="0"/>
              </w:rPr>
              <w:t xml:space="preserve"> publish twice monthly in print and online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, and signage explaining project activities; and 4) Solicit and respond to community input via electronic surveys, interactive community events such as workshops and charrettes, Q&amp;A at outreach events, and calls and emails from community members to grant project representatives at the Tribe; document input and responses on Q&amp;A summary sheets and in </w:t>
            </w:r>
            <w:r w:rsidR="00F70095">
              <w:rPr>
                <w:rFonts w:asciiTheme="minorHAnsi" w:hAnsiTheme="minorHAnsi" w:cstheme="minorHAnsi"/>
                <w:b w:val="0"/>
                <w:bCs w:val="0"/>
              </w:rPr>
              <w:t>q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uarterly </w:t>
            </w:r>
            <w:r w:rsidR="00F70095">
              <w:rPr>
                <w:rFonts w:asciiTheme="minorHAnsi" w:hAnsiTheme="minorHAnsi" w:cstheme="minorHAnsi"/>
                <w:b w:val="0"/>
                <w:bCs w:val="0"/>
              </w:rPr>
              <w:t>p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rogress </w:t>
            </w:r>
            <w:r w:rsidR="00F70095">
              <w:rPr>
                <w:rFonts w:asciiTheme="minorHAnsi" w:hAnsiTheme="minorHAnsi" w:cstheme="minorHAnsi"/>
                <w:b w:val="0"/>
                <w:bCs w:val="0"/>
              </w:rPr>
              <w:t>r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>eports to EPA.</w:t>
            </w:r>
          </w:p>
        </w:tc>
      </w:tr>
      <w:tr w:rsidR="00351AFC" w:rsidRPr="000B67FD" w14:paraId="73FE56C8" w14:textId="77777777">
        <w:trPr>
          <w:jc w:val="center"/>
        </w:trPr>
        <w:tc>
          <w:tcPr>
            <w:tcW w:w="10047" w:type="dxa"/>
            <w:gridSpan w:val="4"/>
          </w:tcPr>
          <w:p w14:paraId="4C690554" w14:textId="5602B5E3" w:rsidR="00351AFC" w:rsidRPr="66634F82" w:rsidRDefault="00351AFC" w:rsidP="00351AFC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</w:rPr>
            </w:pPr>
            <w:r w:rsidRPr="000B67FD">
              <w:rPr>
                <w:rFonts w:asciiTheme="minorHAnsi" w:hAnsiTheme="minorHAnsi" w:cstheme="minorHAnsi"/>
              </w:rPr>
              <w:t>Schedule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: The PIP and initial fact sheet will be finalized in the first quarter of the grant term. </w:t>
            </w:r>
            <w:r w:rsidR="00484AC1">
              <w:rPr>
                <w:rFonts w:asciiTheme="minorHAnsi" w:hAnsiTheme="minorHAnsi" w:cstheme="minorHAnsi"/>
                <w:b w:val="0"/>
                <w:bCs w:val="0"/>
              </w:rPr>
              <w:t>Three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public outreach events will be held at key project milestones. Press releases will also be prepared for project milestones and to publicize outreach events. </w:t>
            </w:r>
            <w:r w:rsidR="00DB3A0D">
              <w:rPr>
                <w:rFonts w:asciiTheme="minorHAnsi" w:hAnsiTheme="minorHAnsi" w:cstheme="minorHAnsi"/>
                <w:b w:val="0"/>
                <w:bCs w:val="0"/>
              </w:rPr>
              <w:t>CTGR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has already established a project 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lastRenderedPageBreak/>
              <w:t xml:space="preserve">webpage on </w:t>
            </w:r>
            <w:proofErr w:type="gramStart"/>
            <w:r w:rsidR="00DB3A0D">
              <w:rPr>
                <w:rFonts w:asciiTheme="minorHAnsi" w:hAnsiTheme="minorHAnsi" w:cstheme="minorHAnsi"/>
                <w:b w:val="0"/>
                <w:bCs w:val="0"/>
              </w:rPr>
              <w:t>it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>’s</w:t>
            </w:r>
            <w:proofErr w:type="gramEnd"/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website </w:t>
            </w:r>
            <w:proofErr w:type="gramStart"/>
            <w:r w:rsidR="00D01C85">
              <w:rPr>
                <w:rFonts w:asciiTheme="minorHAnsi" w:hAnsiTheme="minorHAnsi" w:cstheme="minorHAnsi"/>
                <w:b w:val="0"/>
                <w:bCs w:val="0"/>
              </w:rPr>
              <w:t>(</w:t>
            </w:r>
            <w:r w:rsidR="00D01C85" w:rsidRPr="00D01C85">
              <w:rPr>
                <w:rFonts w:asciiTheme="minorHAnsi" w:hAnsiTheme="minorHAnsi" w:cstheme="minorHAnsi"/>
                <w:b w:val="0"/>
                <w:bCs w:val="0"/>
              </w:rPr>
              <w:t>https://www.grandronde.org/government/</w:t>
            </w:r>
            <w:r w:rsidR="00B12D8B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D01C85" w:rsidRPr="00D01C85">
              <w:rPr>
                <w:rFonts w:asciiTheme="minorHAnsi" w:hAnsiTheme="minorHAnsi" w:cstheme="minorHAnsi"/>
                <w:b w:val="0"/>
                <w:bCs w:val="0"/>
              </w:rPr>
              <w:t>economic-development-program/</w:t>
            </w:r>
            <w:proofErr w:type="spellStart"/>
            <w:r w:rsidR="00D01C85" w:rsidRPr="00D01C85">
              <w:rPr>
                <w:rFonts w:asciiTheme="minorHAnsi" w:hAnsiTheme="minorHAnsi" w:cstheme="minorHAnsi"/>
                <w:b w:val="0"/>
                <w:bCs w:val="0"/>
              </w:rPr>
              <w:t>tumwata</w:t>
            </w:r>
            <w:proofErr w:type="spellEnd"/>
            <w:r w:rsidR="00D01C85" w:rsidRPr="00D01C85">
              <w:rPr>
                <w:rFonts w:asciiTheme="minorHAnsi" w:hAnsiTheme="minorHAnsi" w:cstheme="minorHAnsi"/>
                <w:b w:val="0"/>
                <w:bCs w:val="0"/>
              </w:rPr>
              <w:t>-village/</w:t>
            </w:r>
            <w:r w:rsidR="00D01C85">
              <w:rPr>
                <w:rFonts w:asciiTheme="minorHAnsi" w:hAnsiTheme="minorHAnsi" w:cstheme="minorHAnsi"/>
                <w:b w:val="0"/>
                <w:bCs w:val="0"/>
              </w:rPr>
              <w:t xml:space="preserve">) 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>and will add news and documents as they become available throughout the grant term.</w:t>
            </w:r>
            <w:proofErr w:type="gramEnd"/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Input and responses will be documented on at least a quarterly basis.</w:t>
            </w:r>
          </w:p>
        </w:tc>
      </w:tr>
      <w:tr w:rsidR="00351AFC" w:rsidRPr="000B67FD" w14:paraId="5B45590D" w14:textId="77777777">
        <w:trPr>
          <w:jc w:val="center"/>
        </w:trPr>
        <w:tc>
          <w:tcPr>
            <w:tcW w:w="10047" w:type="dxa"/>
            <w:gridSpan w:val="4"/>
          </w:tcPr>
          <w:p w14:paraId="7F542CBD" w14:textId="5B589314" w:rsidR="00351AFC" w:rsidRPr="66634F82" w:rsidRDefault="00351AFC" w:rsidP="00351AFC">
            <w:pPr>
              <w:pStyle w:val="Heading1"/>
              <w:spacing w:before="40" w:after="40" w:line="240" w:lineRule="exact"/>
              <w:ind w:left="0"/>
              <w:rPr>
                <w:rFonts w:asciiTheme="minorHAnsi" w:hAnsiTheme="minorHAnsi"/>
              </w:rPr>
            </w:pPr>
            <w:r w:rsidRPr="000B67FD">
              <w:rPr>
                <w:rFonts w:asciiTheme="minorHAnsi" w:hAnsiTheme="minorHAnsi" w:cstheme="minorHAnsi"/>
              </w:rPr>
              <w:lastRenderedPageBreak/>
              <w:t>Outputs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: PIP; </w:t>
            </w:r>
            <w:r w:rsidR="0037415C">
              <w:rPr>
                <w:rFonts w:asciiTheme="minorHAnsi" w:hAnsiTheme="minorHAnsi" w:cstheme="minorHAnsi"/>
                <w:b w:val="0"/>
                <w:bCs w:val="0"/>
              </w:rPr>
              <w:t>a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t least </w:t>
            </w:r>
            <w:r w:rsidR="0037415C">
              <w:rPr>
                <w:rFonts w:asciiTheme="minorHAnsi" w:hAnsiTheme="minorHAnsi" w:cstheme="minorHAnsi"/>
                <w:b w:val="0"/>
                <w:bCs w:val="0"/>
              </w:rPr>
              <w:t>three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community meetings </w:t>
            </w:r>
            <w:proofErr w:type="gramStart"/>
            <w:r w:rsidRPr="000B67FD">
              <w:rPr>
                <w:rFonts w:asciiTheme="minorHAnsi" w:hAnsiTheme="minorHAnsi" w:cstheme="minorHAnsi"/>
                <w:b w:val="0"/>
                <w:bCs w:val="0"/>
              </w:rPr>
              <w:t>held</w:t>
            </w:r>
            <w:proofErr w:type="gramEnd"/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and notes/presentation materials developed; 2-3 project fact sheets and press releases</w:t>
            </w:r>
            <w:r w:rsidR="0037415C">
              <w:rPr>
                <w:rFonts w:asciiTheme="minorHAnsi" w:hAnsiTheme="minorHAnsi" w:cstheme="minorHAnsi"/>
                <w:b w:val="0"/>
                <w:bCs w:val="0"/>
              </w:rPr>
              <w:t>/news articles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; project updates on </w:t>
            </w:r>
            <w:r w:rsidR="0037415C">
              <w:rPr>
                <w:rFonts w:asciiTheme="minorHAnsi" w:hAnsiTheme="minorHAnsi" w:cstheme="minorHAnsi"/>
                <w:b w:val="0"/>
                <w:bCs w:val="0"/>
              </w:rPr>
              <w:t>CTGR</w:t>
            </w:r>
            <w:r w:rsidRPr="000B67FD">
              <w:rPr>
                <w:rFonts w:asciiTheme="minorHAnsi" w:hAnsiTheme="minorHAnsi" w:cstheme="minorHAnsi"/>
                <w:b w:val="0"/>
                <w:bCs w:val="0"/>
              </w:rPr>
              <w:t xml:space="preserve"> and partner websites; documentation of public input/questions and responses</w:t>
            </w:r>
          </w:p>
        </w:tc>
      </w:tr>
      <w:tr w:rsidR="005F153E" w:rsidRPr="000B67FD" w14:paraId="484BE495" w14:textId="77777777" w:rsidTr="009C09C2">
        <w:trPr>
          <w:trHeight w:val="377"/>
          <w:jc w:val="center"/>
        </w:trPr>
        <w:tc>
          <w:tcPr>
            <w:tcW w:w="5253" w:type="dxa"/>
            <w:gridSpan w:val="3"/>
            <w:shd w:val="clear" w:color="auto" w:fill="D9D9D9" w:themeFill="background1" w:themeFillShade="D9"/>
            <w:vAlign w:val="center"/>
          </w:tcPr>
          <w:p w14:paraId="28A5352E" w14:textId="7DCE3BFA" w:rsidR="005F153E" w:rsidRPr="000B67FD" w:rsidRDefault="005F153E" w:rsidP="00410B45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cstheme="minorHAnsi"/>
                <w:bCs/>
                <w:sz w:val="24"/>
                <w:szCs w:val="24"/>
                <w:highlight w:val="yellow"/>
              </w:rPr>
            </w:pPr>
            <w:r w:rsidRPr="000B67FD">
              <w:rPr>
                <w:rFonts w:cstheme="minorHAnsi"/>
                <w:b/>
                <w:sz w:val="24"/>
                <w:szCs w:val="24"/>
              </w:rPr>
              <w:t xml:space="preserve">TASK </w:t>
            </w:r>
            <w:r w:rsidR="00E56048">
              <w:rPr>
                <w:rFonts w:cstheme="minorHAnsi"/>
                <w:b/>
                <w:sz w:val="24"/>
                <w:szCs w:val="24"/>
              </w:rPr>
              <w:t>3</w:t>
            </w:r>
            <w:r w:rsidRPr="000B67FD">
              <w:rPr>
                <w:rFonts w:cstheme="minorHAnsi"/>
                <w:b/>
                <w:sz w:val="24"/>
                <w:szCs w:val="24"/>
              </w:rPr>
              <w:t>: CLEANUP</w:t>
            </w:r>
          </w:p>
        </w:tc>
        <w:tc>
          <w:tcPr>
            <w:tcW w:w="4794" w:type="dxa"/>
            <w:shd w:val="clear" w:color="auto" w:fill="D9D9D9" w:themeFill="background1" w:themeFillShade="D9"/>
            <w:vAlign w:val="center"/>
          </w:tcPr>
          <w:p w14:paraId="64F5E480" w14:textId="5E1EB456" w:rsidR="005F153E" w:rsidRPr="000B67FD" w:rsidRDefault="72034D55" w:rsidP="66634F82">
            <w:pPr>
              <w:autoSpaceDE w:val="0"/>
              <w:autoSpaceDN w:val="0"/>
              <w:adjustRightInd w:val="0"/>
              <w:spacing w:before="20" w:after="20" w:line="256" w:lineRule="exact"/>
              <w:rPr>
                <w:b/>
                <w:bCs/>
                <w:sz w:val="24"/>
                <w:szCs w:val="24"/>
              </w:rPr>
            </w:pPr>
            <w:r w:rsidRPr="66634F82">
              <w:rPr>
                <w:b/>
                <w:bCs/>
                <w:sz w:val="24"/>
                <w:szCs w:val="24"/>
              </w:rPr>
              <w:t xml:space="preserve">Lead: </w:t>
            </w:r>
            <w:r w:rsidRPr="66634F82">
              <w:rPr>
                <w:sz w:val="24"/>
                <w:szCs w:val="24"/>
              </w:rPr>
              <w:t>QEP directed by</w:t>
            </w:r>
            <w:r w:rsidR="00DA5A4F" w:rsidRPr="66634F82">
              <w:rPr>
                <w:sz w:val="24"/>
                <w:szCs w:val="24"/>
              </w:rPr>
              <w:t>/</w:t>
            </w:r>
            <w:r w:rsidRPr="66634F82">
              <w:rPr>
                <w:sz w:val="24"/>
                <w:szCs w:val="24"/>
              </w:rPr>
              <w:t xml:space="preserve">reporting to </w:t>
            </w:r>
            <w:r w:rsidR="18825D86" w:rsidRPr="66634F82">
              <w:rPr>
                <w:sz w:val="24"/>
                <w:szCs w:val="24"/>
              </w:rPr>
              <w:t>CTGR</w:t>
            </w:r>
          </w:p>
        </w:tc>
      </w:tr>
      <w:tr w:rsidR="005F153E" w:rsidRPr="000B67FD" w14:paraId="3222BF69" w14:textId="77777777" w:rsidTr="66634F82">
        <w:trPr>
          <w:trHeight w:val="341"/>
          <w:jc w:val="center"/>
        </w:trPr>
        <w:tc>
          <w:tcPr>
            <w:tcW w:w="10047" w:type="dxa"/>
            <w:gridSpan w:val="4"/>
            <w:vAlign w:val="center"/>
          </w:tcPr>
          <w:p w14:paraId="33966576" w14:textId="1CC0562E" w:rsidR="00163330" w:rsidRDefault="00163330" w:rsidP="00F13BCA">
            <w:pPr>
              <w:pStyle w:val="Heading1"/>
              <w:spacing w:before="20" w:after="40" w:line="240" w:lineRule="exact"/>
              <w:ind w:left="0"/>
              <w:rPr>
                <w:rFonts w:asciiTheme="minorHAnsi" w:hAnsiTheme="minorHAnsi" w:cstheme="minorHAnsi"/>
                <w:b w:val="0"/>
              </w:rPr>
            </w:pPr>
            <w:r w:rsidRPr="009C09C2">
              <w:rPr>
                <w:rFonts w:asciiTheme="minorHAnsi" w:hAnsiTheme="minorHAnsi" w:cstheme="minorHAnsi"/>
                <w:bCs w:val="0"/>
              </w:rPr>
              <w:t>Implementation:</w:t>
            </w:r>
            <w:r w:rsidR="00640592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640592">
              <w:rPr>
                <w:rFonts w:asciiTheme="minorHAnsi" w:hAnsiTheme="minorHAnsi" w:cstheme="minorHAnsi"/>
                <w:b w:val="0"/>
                <w:u w:val="single"/>
              </w:rPr>
              <w:t>QEP: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 1) Finalize ABCA</w:t>
            </w:r>
            <w:r w:rsidR="00FE35EF">
              <w:rPr>
                <w:rFonts w:asciiTheme="minorHAnsi" w:hAnsiTheme="minorHAnsi" w:cstheme="minorHAnsi"/>
                <w:b w:val="0"/>
              </w:rPr>
              <w:t xml:space="preserve"> and prepare Remedial Action Plan</w:t>
            </w:r>
            <w:r w:rsidR="00FE2CC1">
              <w:rPr>
                <w:rFonts w:asciiTheme="minorHAnsi" w:hAnsiTheme="minorHAnsi" w:cstheme="minorHAnsi"/>
                <w:b w:val="0"/>
              </w:rPr>
              <w:t xml:space="preserve"> (RAP)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; 2) coordinate with DEQ under the Voluntary Cleanup Program; 3) prepare and obtain EPA approval of sampling and analysis plan (SAP)/quality assurance project plan (QAPP) </w:t>
            </w:r>
            <w:r w:rsidR="00D9664D">
              <w:rPr>
                <w:rFonts w:asciiTheme="minorHAnsi" w:hAnsiTheme="minorHAnsi" w:cstheme="minorHAnsi"/>
                <w:b w:val="0"/>
              </w:rPr>
              <w:t>for confirmation soil sampling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; 4) </w:t>
            </w:r>
            <w:r w:rsidR="00FF7D89">
              <w:rPr>
                <w:rFonts w:asciiTheme="minorHAnsi" w:hAnsiTheme="minorHAnsi" w:cstheme="minorHAnsi"/>
                <w:b w:val="0"/>
              </w:rPr>
              <w:t xml:space="preserve">complete all NHPA and endangered species cross cutters </w:t>
            </w:r>
            <w:r w:rsidR="0047108D">
              <w:rPr>
                <w:rFonts w:asciiTheme="minorHAnsi" w:hAnsiTheme="minorHAnsi" w:cstheme="minorHAnsi"/>
                <w:b w:val="0"/>
              </w:rPr>
              <w:t xml:space="preserve">5) </w:t>
            </w:r>
            <w:r w:rsidR="00361E0A">
              <w:rPr>
                <w:rFonts w:asciiTheme="minorHAnsi" w:hAnsiTheme="minorHAnsi" w:cstheme="minorHAnsi"/>
                <w:b w:val="0"/>
              </w:rPr>
              <w:t xml:space="preserve">prepare </w:t>
            </w:r>
            <w:r w:rsidR="001763AC">
              <w:rPr>
                <w:rFonts w:asciiTheme="minorHAnsi" w:hAnsiTheme="minorHAnsi" w:cstheme="minorHAnsi"/>
                <w:b w:val="0"/>
              </w:rPr>
              <w:t xml:space="preserve">health and safety plan; 6) </w:t>
            </w:r>
            <w:r w:rsidRPr="00F13BCA">
              <w:rPr>
                <w:rFonts w:asciiTheme="minorHAnsi" w:hAnsiTheme="minorHAnsi" w:cstheme="minorHAnsi"/>
                <w:b w:val="0"/>
              </w:rPr>
              <w:t>oversee</w:t>
            </w:r>
            <w:r w:rsidR="009C09C2">
              <w:rPr>
                <w:rFonts w:asciiTheme="minorHAnsi" w:hAnsiTheme="minorHAnsi" w:cstheme="minorHAnsi"/>
                <w:b w:val="0"/>
              </w:rPr>
              <w:t>/direct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 cleanup contractor</w:t>
            </w:r>
            <w:r w:rsidR="00C30CFC">
              <w:rPr>
                <w:rFonts w:asciiTheme="minorHAnsi" w:hAnsiTheme="minorHAnsi" w:cstheme="minorHAnsi"/>
                <w:b w:val="0"/>
              </w:rPr>
              <w:t xml:space="preserve"> during remedial action implementation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1763AC">
              <w:rPr>
                <w:rFonts w:asciiTheme="minorHAnsi" w:hAnsiTheme="minorHAnsi" w:cstheme="minorHAnsi"/>
                <w:b w:val="0"/>
              </w:rPr>
              <w:t>7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) </w:t>
            </w:r>
            <w:r w:rsidR="00F03CF6">
              <w:rPr>
                <w:rFonts w:asciiTheme="minorHAnsi" w:hAnsiTheme="minorHAnsi" w:cstheme="minorHAnsi"/>
                <w:b w:val="0"/>
              </w:rPr>
              <w:t>conduct confirmation soil sampling in soil hot spot remedial action areas</w:t>
            </w:r>
            <w:r w:rsidR="00705144">
              <w:rPr>
                <w:rFonts w:asciiTheme="minorHAnsi" w:hAnsiTheme="minorHAnsi" w:cstheme="minorHAnsi"/>
                <w:b w:val="0"/>
              </w:rPr>
              <w:t xml:space="preserve">; and </w:t>
            </w:r>
            <w:r w:rsidR="001763AC">
              <w:rPr>
                <w:rFonts w:asciiTheme="minorHAnsi" w:hAnsiTheme="minorHAnsi" w:cstheme="minorHAnsi"/>
                <w:b w:val="0"/>
              </w:rPr>
              <w:t>8</w:t>
            </w:r>
            <w:r w:rsidR="004F41E4">
              <w:rPr>
                <w:rFonts w:asciiTheme="minorHAnsi" w:hAnsiTheme="minorHAnsi" w:cstheme="minorHAnsi"/>
                <w:b w:val="0"/>
              </w:rPr>
              <w:t xml:space="preserve">) </w:t>
            </w:r>
            <w:r w:rsidRPr="00F13BCA">
              <w:rPr>
                <w:rFonts w:asciiTheme="minorHAnsi" w:hAnsiTheme="minorHAnsi" w:cstheme="minorHAnsi"/>
                <w:b w:val="0"/>
              </w:rPr>
              <w:t>prepare draft/final cleanup reports.</w:t>
            </w:r>
          </w:p>
          <w:p w14:paraId="4CE61790" w14:textId="479D2CE3" w:rsidR="005F153E" w:rsidRPr="000B67FD" w:rsidRDefault="00F13BCA" w:rsidP="00886148">
            <w:pPr>
              <w:pStyle w:val="Heading1"/>
              <w:spacing w:before="20" w:after="40" w:line="240" w:lineRule="exact"/>
              <w:ind w:left="0"/>
              <w:rPr>
                <w:rFonts w:asciiTheme="minorHAnsi" w:hAnsiTheme="minorHAnsi" w:cstheme="minorHAnsi"/>
              </w:rPr>
            </w:pPr>
            <w:r w:rsidRPr="00640592">
              <w:rPr>
                <w:rFonts w:asciiTheme="minorHAnsi" w:hAnsiTheme="minorHAnsi" w:cstheme="minorHAnsi"/>
                <w:b w:val="0"/>
                <w:u w:val="single"/>
              </w:rPr>
              <w:t>Cleanup Contractor: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 1) </w:t>
            </w:r>
            <w:r w:rsidR="00DF6929">
              <w:rPr>
                <w:rFonts w:asciiTheme="minorHAnsi" w:hAnsiTheme="minorHAnsi" w:cstheme="minorHAnsi"/>
                <w:b w:val="0"/>
              </w:rPr>
              <w:t xml:space="preserve">Prepare all pre-work submittals </w:t>
            </w:r>
            <w:r w:rsidR="00CF515F">
              <w:rPr>
                <w:rFonts w:asciiTheme="minorHAnsi" w:hAnsiTheme="minorHAnsi" w:cstheme="minorHAnsi"/>
                <w:b w:val="0"/>
              </w:rPr>
              <w:t>(</w:t>
            </w:r>
            <w:r w:rsidR="00CF515F" w:rsidRPr="00F13BCA">
              <w:rPr>
                <w:rFonts w:asciiTheme="minorHAnsi" w:hAnsiTheme="minorHAnsi" w:cstheme="minorHAnsi"/>
                <w:b w:val="0"/>
              </w:rPr>
              <w:t>health and safety plan</w:t>
            </w:r>
            <w:r w:rsidR="00CF515F">
              <w:rPr>
                <w:rFonts w:asciiTheme="minorHAnsi" w:hAnsiTheme="minorHAnsi" w:cstheme="minorHAnsi"/>
                <w:b w:val="0"/>
              </w:rPr>
              <w:t xml:space="preserve">, </w:t>
            </w:r>
            <w:r w:rsidR="00CF515F" w:rsidRPr="00F13BCA">
              <w:rPr>
                <w:rFonts w:asciiTheme="minorHAnsi" w:hAnsiTheme="minorHAnsi" w:cstheme="minorHAnsi"/>
                <w:b w:val="0"/>
              </w:rPr>
              <w:t>traffic management plan</w:t>
            </w:r>
            <w:r w:rsidR="00CF515F">
              <w:rPr>
                <w:rFonts w:asciiTheme="minorHAnsi" w:hAnsiTheme="minorHAnsi" w:cstheme="minorHAnsi"/>
                <w:b w:val="0"/>
              </w:rPr>
              <w:t xml:space="preserve">, </w:t>
            </w:r>
            <w:r w:rsidR="00571CC7">
              <w:rPr>
                <w:rFonts w:asciiTheme="minorHAnsi" w:hAnsiTheme="minorHAnsi" w:cstheme="minorHAnsi"/>
                <w:b w:val="0"/>
              </w:rPr>
              <w:t>1200C permit,</w:t>
            </w:r>
            <w:r w:rsidR="00B11F4E">
              <w:rPr>
                <w:rFonts w:asciiTheme="minorHAnsi" w:hAnsiTheme="minorHAnsi" w:cstheme="minorHAnsi"/>
                <w:b w:val="0"/>
              </w:rPr>
              <w:t xml:space="preserve"> </w:t>
            </w:r>
            <w:r w:rsidR="00CF515F">
              <w:rPr>
                <w:rFonts w:asciiTheme="minorHAnsi" w:hAnsiTheme="minorHAnsi" w:cstheme="minorHAnsi"/>
                <w:b w:val="0"/>
              </w:rPr>
              <w:t>etc.</w:t>
            </w:r>
            <w:r w:rsidR="00A8730D">
              <w:rPr>
                <w:rFonts w:asciiTheme="minorHAnsi" w:hAnsiTheme="minorHAnsi" w:cstheme="minorHAnsi"/>
                <w:b w:val="0"/>
              </w:rPr>
              <w:t>)</w:t>
            </w:r>
            <w:r w:rsidR="00CF515F">
              <w:rPr>
                <w:rFonts w:asciiTheme="minorHAnsi" w:hAnsiTheme="minorHAnsi" w:cstheme="minorHAnsi"/>
                <w:b w:val="0"/>
              </w:rPr>
              <w:t xml:space="preserve"> </w:t>
            </w:r>
            <w:r w:rsidR="00DF6929">
              <w:rPr>
                <w:rFonts w:asciiTheme="minorHAnsi" w:hAnsiTheme="minorHAnsi" w:cstheme="minorHAnsi"/>
                <w:b w:val="0"/>
              </w:rPr>
              <w:t>for review</w:t>
            </w:r>
            <w:r w:rsidR="00A10F0E">
              <w:rPr>
                <w:rFonts w:asciiTheme="minorHAnsi" w:hAnsiTheme="minorHAnsi" w:cstheme="minorHAnsi"/>
                <w:b w:val="0"/>
              </w:rPr>
              <w:t xml:space="preserve">/approval by </w:t>
            </w:r>
            <w:r w:rsidR="00A70A69">
              <w:rPr>
                <w:rFonts w:asciiTheme="minorHAnsi" w:hAnsiTheme="minorHAnsi" w:cstheme="minorHAnsi"/>
                <w:b w:val="0"/>
              </w:rPr>
              <w:t>CTGR/QEP</w:t>
            </w:r>
            <w:r w:rsidR="00FE5247">
              <w:rPr>
                <w:rFonts w:asciiTheme="minorHAnsi" w:hAnsiTheme="minorHAnsi" w:cstheme="minorHAnsi"/>
                <w:b w:val="0"/>
              </w:rPr>
              <w:t>;</w:t>
            </w:r>
            <w:r w:rsidR="00C008AA">
              <w:rPr>
                <w:rFonts w:asciiTheme="minorHAnsi" w:hAnsiTheme="minorHAnsi" w:cstheme="minorHAnsi"/>
                <w:b w:val="0"/>
              </w:rPr>
              <w:t xml:space="preserve"> 2) </w:t>
            </w:r>
            <w:r w:rsidR="0023758B">
              <w:rPr>
                <w:rFonts w:asciiTheme="minorHAnsi" w:hAnsiTheme="minorHAnsi" w:cstheme="minorHAnsi"/>
                <w:b w:val="0"/>
              </w:rPr>
              <w:t>Mobilize to Site and implement a</w:t>
            </w:r>
            <w:r w:rsidR="00836540">
              <w:rPr>
                <w:rFonts w:asciiTheme="minorHAnsi" w:hAnsiTheme="minorHAnsi" w:cstheme="minorHAnsi"/>
                <w:b w:val="0"/>
              </w:rPr>
              <w:t>ll required best management practices (</w:t>
            </w:r>
            <w:r w:rsidR="00E94C50">
              <w:rPr>
                <w:rFonts w:asciiTheme="minorHAnsi" w:hAnsiTheme="minorHAnsi" w:cstheme="minorHAnsi"/>
                <w:b w:val="0"/>
              </w:rPr>
              <w:t>erosion control</w:t>
            </w:r>
            <w:r w:rsidR="00B11F4E">
              <w:rPr>
                <w:rFonts w:asciiTheme="minorHAnsi" w:hAnsiTheme="minorHAnsi" w:cstheme="minorHAnsi"/>
                <w:b w:val="0"/>
              </w:rPr>
              <w:t xml:space="preserve"> measures</w:t>
            </w:r>
            <w:r w:rsidR="00E94C50">
              <w:rPr>
                <w:rFonts w:asciiTheme="minorHAnsi" w:hAnsiTheme="minorHAnsi" w:cstheme="minorHAnsi"/>
                <w:b w:val="0"/>
              </w:rPr>
              <w:t>, etc.)</w:t>
            </w:r>
            <w:r w:rsidR="00F0149B">
              <w:rPr>
                <w:rFonts w:asciiTheme="minorHAnsi" w:hAnsiTheme="minorHAnsi" w:cstheme="minorHAnsi"/>
                <w:b w:val="0"/>
              </w:rPr>
              <w:t xml:space="preserve">; 3) 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Excavate and load </w:t>
            </w:r>
            <w:r w:rsidR="00FE19E2">
              <w:rPr>
                <w:rFonts w:asciiTheme="minorHAnsi" w:hAnsiTheme="minorHAnsi" w:cstheme="minorHAnsi"/>
                <w:b w:val="0"/>
              </w:rPr>
              <w:t xml:space="preserve">all hot spot soils 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and transport to Hillsboro Landfill in accordance with </w:t>
            </w:r>
            <w:r w:rsidR="00FE2CC1">
              <w:rPr>
                <w:rFonts w:asciiTheme="minorHAnsi" w:hAnsiTheme="minorHAnsi" w:cstheme="minorHAnsi"/>
                <w:b w:val="0"/>
              </w:rPr>
              <w:t>the RAP</w:t>
            </w:r>
            <w:r w:rsidRPr="00F13BCA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9428D5">
              <w:rPr>
                <w:rFonts w:asciiTheme="minorHAnsi" w:hAnsiTheme="minorHAnsi" w:cstheme="minorHAnsi"/>
                <w:b w:val="0"/>
              </w:rPr>
              <w:t xml:space="preserve">4) </w:t>
            </w:r>
            <w:r w:rsidR="00900498">
              <w:rPr>
                <w:rFonts w:asciiTheme="minorHAnsi" w:hAnsiTheme="minorHAnsi" w:cstheme="minorHAnsi"/>
                <w:b w:val="0"/>
              </w:rPr>
              <w:t xml:space="preserve">Maintain all disposal documentation and provide to QEP; </w:t>
            </w:r>
            <w:r w:rsidR="000329D5">
              <w:rPr>
                <w:rFonts w:asciiTheme="minorHAnsi" w:hAnsiTheme="minorHAnsi" w:cstheme="minorHAnsi"/>
                <w:b w:val="0"/>
              </w:rPr>
              <w:t xml:space="preserve">5) </w:t>
            </w:r>
            <w:r w:rsidR="003E5CF0">
              <w:rPr>
                <w:rFonts w:asciiTheme="minorHAnsi" w:hAnsiTheme="minorHAnsi" w:cstheme="minorHAnsi"/>
                <w:b w:val="0"/>
              </w:rPr>
              <w:t xml:space="preserve">Assist the QEP in collecting </w:t>
            </w:r>
            <w:r w:rsidR="005A1319">
              <w:rPr>
                <w:rFonts w:asciiTheme="minorHAnsi" w:hAnsiTheme="minorHAnsi" w:cstheme="minorHAnsi"/>
                <w:b w:val="0"/>
              </w:rPr>
              <w:t xml:space="preserve">soil hot spot area </w:t>
            </w:r>
            <w:r w:rsidR="003E5CF0">
              <w:rPr>
                <w:rFonts w:asciiTheme="minorHAnsi" w:hAnsiTheme="minorHAnsi" w:cstheme="minorHAnsi"/>
                <w:b w:val="0"/>
              </w:rPr>
              <w:t>confirmation soil samples</w:t>
            </w:r>
            <w:r w:rsidR="00F10494">
              <w:rPr>
                <w:rFonts w:asciiTheme="minorHAnsi" w:hAnsiTheme="minorHAnsi" w:cstheme="minorHAnsi"/>
                <w:b w:val="0"/>
              </w:rPr>
              <w:t xml:space="preserve">; </w:t>
            </w:r>
            <w:r w:rsidR="005A1319">
              <w:rPr>
                <w:rFonts w:asciiTheme="minorHAnsi" w:hAnsiTheme="minorHAnsi" w:cstheme="minorHAnsi"/>
                <w:b w:val="0"/>
              </w:rPr>
              <w:t>6</w:t>
            </w:r>
            <w:r w:rsidR="00F10494">
              <w:rPr>
                <w:rFonts w:asciiTheme="minorHAnsi" w:hAnsiTheme="minorHAnsi" w:cstheme="minorHAnsi"/>
                <w:b w:val="0"/>
              </w:rPr>
              <w:t xml:space="preserve">) </w:t>
            </w:r>
            <w:r w:rsidR="00414668" w:rsidRPr="00F13BCA">
              <w:rPr>
                <w:rFonts w:asciiTheme="minorHAnsi" w:hAnsiTheme="minorHAnsi" w:cstheme="minorHAnsi"/>
                <w:b w:val="0"/>
              </w:rPr>
              <w:t xml:space="preserve">Excavate and load </w:t>
            </w:r>
            <w:r w:rsidR="00414668">
              <w:rPr>
                <w:rFonts w:asciiTheme="minorHAnsi" w:hAnsiTheme="minorHAnsi" w:cstheme="minorHAnsi"/>
                <w:b w:val="0"/>
              </w:rPr>
              <w:t xml:space="preserve">all </w:t>
            </w:r>
            <w:r w:rsidR="009C64DC">
              <w:rPr>
                <w:rFonts w:asciiTheme="minorHAnsi" w:hAnsiTheme="minorHAnsi" w:cstheme="minorHAnsi"/>
                <w:b w:val="0"/>
              </w:rPr>
              <w:t xml:space="preserve">ecological restoration contaminated soils </w:t>
            </w:r>
            <w:r w:rsidR="00414668" w:rsidRPr="00F13BCA">
              <w:rPr>
                <w:rFonts w:asciiTheme="minorHAnsi" w:hAnsiTheme="minorHAnsi" w:cstheme="minorHAnsi"/>
                <w:b w:val="0"/>
              </w:rPr>
              <w:t xml:space="preserve">and transport to </w:t>
            </w:r>
            <w:r w:rsidR="009C64DC">
              <w:rPr>
                <w:rFonts w:asciiTheme="minorHAnsi" w:hAnsiTheme="minorHAnsi" w:cstheme="minorHAnsi"/>
                <w:b w:val="0"/>
              </w:rPr>
              <w:t xml:space="preserve">the facility </w:t>
            </w:r>
            <w:r w:rsidR="007518BD">
              <w:rPr>
                <w:rFonts w:asciiTheme="minorHAnsi" w:hAnsiTheme="minorHAnsi" w:cstheme="minorHAnsi"/>
                <w:b w:val="0"/>
              </w:rPr>
              <w:t xml:space="preserve">identified in the </w:t>
            </w:r>
            <w:r w:rsidR="00564126">
              <w:rPr>
                <w:rFonts w:asciiTheme="minorHAnsi" w:hAnsiTheme="minorHAnsi" w:cstheme="minorHAnsi"/>
                <w:b w:val="0"/>
              </w:rPr>
              <w:t>DEQ-approved RA</w:t>
            </w:r>
            <w:r w:rsidR="009C7059">
              <w:rPr>
                <w:rFonts w:asciiTheme="minorHAnsi" w:hAnsiTheme="minorHAnsi" w:cstheme="minorHAnsi"/>
                <w:b w:val="0"/>
              </w:rPr>
              <w:t xml:space="preserve">P; </w:t>
            </w:r>
            <w:r w:rsidR="00CE4292">
              <w:rPr>
                <w:rFonts w:asciiTheme="minorHAnsi" w:hAnsiTheme="minorHAnsi" w:cstheme="minorHAnsi"/>
                <w:b w:val="0"/>
              </w:rPr>
              <w:t xml:space="preserve">7) </w:t>
            </w:r>
            <w:r w:rsidR="00B05E0D">
              <w:rPr>
                <w:rFonts w:asciiTheme="minorHAnsi" w:hAnsiTheme="minorHAnsi" w:cstheme="minorHAnsi"/>
                <w:b w:val="0"/>
              </w:rPr>
              <w:t>Complete all post-cleanup Site restoration activities</w:t>
            </w:r>
            <w:r w:rsidRPr="00F13BCA">
              <w:rPr>
                <w:rFonts w:asciiTheme="minorHAnsi" w:hAnsiTheme="minorHAnsi" w:cstheme="minorHAnsi"/>
                <w:b w:val="0"/>
              </w:rPr>
              <w:t>.</w:t>
            </w:r>
          </w:p>
        </w:tc>
      </w:tr>
      <w:tr w:rsidR="009C09C2" w:rsidRPr="000B67FD" w14:paraId="67055F9E" w14:textId="77777777">
        <w:trPr>
          <w:trHeight w:val="341"/>
          <w:jc w:val="center"/>
        </w:trPr>
        <w:tc>
          <w:tcPr>
            <w:tcW w:w="10047" w:type="dxa"/>
            <w:gridSpan w:val="4"/>
            <w:vAlign w:val="center"/>
          </w:tcPr>
          <w:p w14:paraId="4A9591C0" w14:textId="665F1674" w:rsidR="009C09C2" w:rsidRPr="009C09C2" w:rsidRDefault="009C09C2" w:rsidP="00A003D6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C09C2">
              <w:rPr>
                <w:rFonts w:cstheme="minorHAnsi"/>
                <w:b/>
                <w:bCs/>
                <w:sz w:val="24"/>
                <w:szCs w:val="24"/>
              </w:rPr>
              <w:t xml:space="preserve">Schedule: </w:t>
            </w:r>
            <w:r w:rsidR="00674B6E" w:rsidRPr="00816E1D">
              <w:rPr>
                <w:rFonts w:cstheme="minorHAnsi"/>
                <w:sz w:val="24"/>
                <w:szCs w:val="24"/>
              </w:rPr>
              <w:t xml:space="preserve">Finalized ABCA and RAP by </w:t>
            </w:r>
            <w:r w:rsidR="00C960F8" w:rsidRPr="00816E1D">
              <w:rPr>
                <w:rFonts w:cstheme="minorHAnsi"/>
                <w:sz w:val="24"/>
                <w:szCs w:val="24"/>
              </w:rPr>
              <w:t>3/1/27</w:t>
            </w:r>
            <w:r w:rsidR="00816E1D" w:rsidRPr="00816E1D">
              <w:rPr>
                <w:rFonts w:cstheme="minorHAnsi"/>
                <w:sz w:val="24"/>
                <w:szCs w:val="24"/>
              </w:rPr>
              <w:t>;</w:t>
            </w:r>
            <w:r w:rsidR="003C15A3">
              <w:rPr>
                <w:rFonts w:cstheme="minorHAnsi"/>
                <w:sz w:val="24"/>
                <w:szCs w:val="24"/>
              </w:rPr>
              <w:t xml:space="preserve"> </w:t>
            </w:r>
            <w:r w:rsidR="00F07A3B">
              <w:rPr>
                <w:rFonts w:cstheme="minorHAnsi"/>
                <w:sz w:val="24"/>
                <w:szCs w:val="24"/>
              </w:rPr>
              <w:t xml:space="preserve">Finalized SAP/QAPP by </w:t>
            </w:r>
            <w:r w:rsidR="001136C9">
              <w:rPr>
                <w:rFonts w:cstheme="minorHAnsi"/>
                <w:sz w:val="24"/>
                <w:szCs w:val="24"/>
              </w:rPr>
              <w:t xml:space="preserve">5/1/27; </w:t>
            </w:r>
            <w:r w:rsidR="00584D85">
              <w:rPr>
                <w:rFonts w:cstheme="minorHAnsi"/>
                <w:sz w:val="24"/>
                <w:szCs w:val="24"/>
              </w:rPr>
              <w:t>Approved Contract</w:t>
            </w:r>
            <w:r w:rsidR="008B31DB">
              <w:rPr>
                <w:rFonts w:cstheme="minorHAnsi"/>
                <w:sz w:val="24"/>
                <w:szCs w:val="24"/>
              </w:rPr>
              <w:t>or and QEP pre</w:t>
            </w:r>
            <w:r w:rsidR="000E0B30">
              <w:rPr>
                <w:rFonts w:cstheme="minorHAnsi"/>
                <w:sz w:val="24"/>
                <w:szCs w:val="24"/>
              </w:rPr>
              <w:t xml:space="preserve">-remediation </w:t>
            </w:r>
            <w:r w:rsidR="00912103">
              <w:rPr>
                <w:rFonts w:cstheme="minorHAnsi"/>
                <w:sz w:val="24"/>
                <w:szCs w:val="24"/>
              </w:rPr>
              <w:t xml:space="preserve">submittals by </w:t>
            </w:r>
            <w:r w:rsidR="00D92C0E">
              <w:rPr>
                <w:rFonts w:cstheme="minorHAnsi"/>
                <w:sz w:val="24"/>
                <w:szCs w:val="24"/>
              </w:rPr>
              <w:t>6/1/</w:t>
            </w:r>
            <w:r w:rsidR="00CB4F7B">
              <w:rPr>
                <w:rFonts w:cstheme="minorHAnsi"/>
                <w:sz w:val="24"/>
                <w:szCs w:val="24"/>
              </w:rPr>
              <w:t xml:space="preserve">27; </w:t>
            </w:r>
            <w:r w:rsidR="00C0358E">
              <w:rPr>
                <w:rFonts w:cstheme="minorHAnsi"/>
                <w:sz w:val="24"/>
                <w:szCs w:val="24"/>
              </w:rPr>
              <w:t xml:space="preserve">Start remedial action by </w:t>
            </w:r>
            <w:r w:rsidR="00767BE7">
              <w:rPr>
                <w:rFonts w:cstheme="minorHAnsi"/>
                <w:sz w:val="24"/>
                <w:szCs w:val="24"/>
              </w:rPr>
              <w:t>6/</w:t>
            </w:r>
            <w:r w:rsidR="00CA6BD7">
              <w:rPr>
                <w:rFonts w:cstheme="minorHAnsi"/>
                <w:sz w:val="24"/>
                <w:szCs w:val="24"/>
              </w:rPr>
              <w:t>15/27</w:t>
            </w:r>
            <w:r w:rsidR="003431A0">
              <w:rPr>
                <w:rFonts w:cstheme="minorHAnsi"/>
                <w:sz w:val="24"/>
                <w:szCs w:val="24"/>
              </w:rPr>
              <w:t xml:space="preserve"> and complete remedial action by </w:t>
            </w:r>
            <w:r w:rsidR="00D90C37">
              <w:rPr>
                <w:rFonts w:cstheme="minorHAnsi"/>
                <w:sz w:val="24"/>
                <w:szCs w:val="24"/>
              </w:rPr>
              <w:t xml:space="preserve">6/15/28; </w:t>
            </w:r>
            <w:r w:rsidR="00763031">
              <w:rPr>
                <w:rFonts w:cstheme="minorHAnsi"/>
                <w:sz w:val="24"/>
                <w:szCs w:val="24"/>
              </w:rPr>
              <w:t>Complet</w:t>
            </w:r>
            <w:r w:rsidR="00C91C9B">
              <w:rPr>
                <w:rFonts w:cstheme="minorHAnsi"/>
                <w:sz w:val="24"/>
                <w:szCs w:val="24"/>
              </w:rPr>
              <w:t xml:space="preserve">e final cleanup report by </w:t>
            </w:r>
            <w:r w:rsidR="004D319F">
              <w:rPr>
                <w:rFonts w:cstheme="minorHAnsi"/>
                <w:sz w:val="24"/>
                <w:szCs w:val="24"/>
              </w:rPr>
              <w:t>9/30/28</w:t>
            </w:r>
            <w:r w:rsidR="000A10D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5F153E" w:rsidRPr="000B67FD" w14:paraId="240F3AAA" w14:textId="77777777" w:rsidTr="66634F82">
        <w:trPr>
          <w:trHeight w:val="341"/>
          <w:jc w:val="center"/>
        </w:trPr>
        <w:tc>
          <w:tcPr>
            <w:tcW w:w="10047" w:type="dxa"/>
            <w:gridSpan w:val="4"/>
            <w:vAlign w:val="center"/>
          </w:tcPr>
          <w:p w14:paraId="54322DAD" w14:textId="1E408ACA" w:rsidR="005F153E" w:rsidRPr="000B67FD" w:rsidRDefault="005F153E" w:rsidP="00410B45">
            <w:pPr>
              <w:autoSpaceDE w:val="0"/>
              <w:autoSpaceDN w:val="0"/>
              <w:adjustRightInd w:val="0"/>
              <w:spacing w:before="20" w:after="20" w:line="240" w:lineRule="exac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67FD">
              <w:rPr>
                <w:rFonts w:cstheme="minorHAnsi"/>
                <w:b/>
                <w:bCs/>
                <w:sz w:val="24"/>
                <w:szCs w:val="24"/>
              </w:rPr>
              <w:t xml:space="preserve">Outputs: </w:t>
            </w:r>
            <w:r w:rsidR="007269CC">
              <w:rPr>
                <w:rFonts w:cstheme="minorHAnsi"/>
                <w:sz w:val="24"/>
                <w:szCs w:val="24"/>
              </w:rPr>
              <w:t>Final ABCA</w:t>
            </w:r>
            <w:r w:rsidR="00EF0C31">
              <w:rPr>
                <w:rFonts w:cstheme="minorHAnsi"/>
                <w:sz w:val="24"/>
                <w:szCs w:val="24"/>
              </w:rPr>
              <w:t>;</w:t>
            </w:r>
            <w:r w:rsidR="007269CC">
              <w:rPr>
                <w:rFonts w:cstheme="minorHAnsi"/>
                <w:sz w:val="24"/>
                <w:szCs w:val="24"/>
              </w:rPr>
              <w:t xml:space="preserve"> RAP</w:t>
            </w:r>
            <w:r w:rsidR="00494128">
              <w:rPr>
                <w:rFonts w:cstheme="minorHAnsi"/>
                <w:sz w:val="24"/>
                <w:szCs w:val="24"/>
              </w:rPr>
              <w:t>;</w:t>
            </w:r>
            <w:r w:rsidR="007269CC">
              <w:rPr>
                <w:rFonts w:cstheme="minorHAnsi"/>
                <w:sz w:val="24"/>
                <w:szCs w:val="24"/>
              </w:rPr>
              <w:t xml:space="preserve"> </w:t>
            </w:r>
            <w:r w:rsidR="00602750" w:rsidRPr="000B67FD">
              <w:rPr>
                <w:rFonts w:cstheme="minorHAnsi"/>
                <w:sz w:val="24"/>
                <w:szCs w:val="24"/>
              </w:rPr>
              <w:t>QAPP</w:t>
            </w:r>
            <w:r w:rsidR="007269CC">
              <w:rPr>
                <w:rFonts w:cstheme="minorHAnsi"/>
                <w:sz w:val="24"/>
                <w:szCs w:val="24"/>
              </w:rPr>
              <w:t>/SAP</w:t>
            </w:r>
            <w:r w:rsidR="00602750" w:rsidRPr="000B67FD">
              <w:rPr>
                <w:rFonts w:cstheme="minorHAnsi"/>
                <w:sz w:val="24"/>
                <w:szCs w:val="24"/>
              </w:rPr>
              <w:t>; HASP</w:t>
            </w:r>
            <w:r w:rsidR="00DC05E6">
              <w:rPr>
                <w:rFonts w:cstheme="minorHAnsi"/>
                <w:sz w:val="24"/>
                <w:szCs w:val="24"/>
              </w:rPr>
              <w:t>s and other pre-work submittals</w:t>
            </w:r>
            <w:r w:rsidR="00602750" w:rsidRPr="000B67FD">
              <w:rPr>
                <w:rFonts w:cstheme="minorHAnsi"/>
                <w:sz w:val="24"/>
                <w:szCs w:val="24"/>
              </w:rPr>
              <w:t xml:space="preserve">; Endangered Species Act and NHPA documentation; </w:t>
            </w:r>
            <w:r w:rsidRPr="000B67FD">
              <w:rPr>
                <w:rFonts w:cstheme="minorHAnsi"/>
                <w:sz w:val="24"/>
                <w:szCs w:val="24"/>
              </w:rPr>
              <w:t xml:space="preserve">Draft/Final </w:t>
            </w:r>
            <w:r w:rsidR="004A775A" w:rsidRPr="000B67FD">
              <w:rPr>
                <w:rFonts w:cstheme="minorHAnsi"/>
                <w:sz w:val="24"/>
                <w:szCs w:val="24"/>
              </w:rPr>
              <w:t>Cleanup</w:t>
            </w:r>
            <w:r w:rsidRPr="000B67FD">
              <w:rPr>
                <w:rFonts w:cstheme="minorHAnsi"/>
                <w:sz w:val="24"/>
                <w:szCs w:val="24"/>
              </w:rPr>
              <w:t xml:space="preserve"> Report</w:t>
            </w:r>
            <w:r w:rsidR="0068654D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349B0A83" w14:textId="742A11D7" w:rsidR="008339ED" w:rsidRPr="000B67FD" w:rsidRDefault="00384FCB" w:rsidP="008339ED">
      <w:pPr>
        <w:widowControl w:val="0"/>
        <w:spacing w:before="60" w:after="60" w:line="260" w:lineRule="exact"/>
        <w:rPr>
          <w:spacing w:val="-8"/>
          <w:sz w:val="24"/>
          <w:szCs w:val="24"/>
        </w:rPr>
      </w:pPr>
      <w:r w:rsidRPr="1984BF49">
        <w:rPr>
          <w:b/>
          <w:spacing w:val="-8"/>
          <w:sz w:val="24"/>
          <w:szCs w:val="24"/>
          <w:u w:val="single"/>
        </w:rPr>
        <w:t>3.</w:t>
      </w:r>
      <w:r w:rsidR="006F488F" w:rsidRPr="1984BF49">
        <w:rPr>
          <w:b/>
          <w:spacing w:val="-8"/>
          <w:sz w:val="24"/>
          <w:szCs w:val="24"/>
          <w:u w:val="single"/>
        </w:rPr>
        <w:t>f</w:t>
      </w:r>
      <w:r w:rsidRPr="1984BF49">
        <w:rPr>
          <w:b/>
          <w:spacing w:val="-8"/>
          <w:sz w:val="24"/>
          <w:szCs w:val="24"/>
          <w:u w:val="single"/>
        </w:rPr>
        <w:t>. Cost Estimates</w:t>
      </w:r>
      <w:r w:rsidR="00CB791B" w:rsidRPr="1984BF49">
        <w:rPr>
          <w:b/>
          <w:spacing w:val="-8"/>
          <w:sz w:val="24"/>
          <w:szCs w:val="24"/>
        </w:rPr>
        <w:t>:</w:t>
      </w:r>
      <w:r w:rsidR="009F6023" w:rsidRPr="1984BF49">
        <w:rPr>
          <w:b/>
          <w:spacing w:val="-8"/>
          <w:sz w:val="24"/>
          <w:szCs w:val="24"/>
        </w:rPr>
        <w:t xml:space="preserve"> </w:t>
      </w:r>
      <w:r w:rsidR="008339ED" w:rsidRPr="1984BF49">
        <w:rPr>
          <w:spacing w:val="-8"/>
          <w:sz w:val="24"/>
          <w:szCs w:val="24"/>
        </w:rPr>
        <w:t xml:space="preserve">The budget below was prepared with the assistance of an environmental professional knowledgeable about Site conditions. </w:t>
      </w:r>
      <w:r w:rsidR="00844220">
        <w:rPr>
          <w:spacing w:val="-8"/>
          <w:sz w:val="24"/>
          <w:szCs w:val="24"/>
        </w:rPr>
        <w:t xml:space="preserve">The budget described is for EPA brownfield grant funding only (total of $4M). </w:t>
      </w:r>
      <w:r w:rsidR="003D211D">
        <w:rPr>
          <w:spacing w:val="-8"/>
          <w:sz w:val="24"/>
          <w:szCs w:val="24"/>
        </w:rPr>
        <w:t xml:space="preserve">CTGR has the following leveraged funding sources to pay the balance </w:t>
      </w:r>
      <w:r w:rsidR="006A6905">
        <w:rPr>
          <w:spacing w:val="-8"/>
          <w:sz w:val="24"/>
          <w:szCs w:val="24"/>
        </w:rPr>
        <w:t>($3M</w:t>
      </w:r>
      <w:r w:rsidR="00C3439B">
        <w:rPr>
          <w:spacing w:val="-8"/>
          <w:sz w:val="24"/>
          <w:szCs w:val="24"/>
        </w:rPr>
        <w:t>)</w:t>
      </w:r>
      <w:r w:rsidR="006A6905">
        <w:rPr>
          <w:spacing w:val="-8"/>
          <w:sz w:val="24"/>
          <w:szCs w:val="24"/>
        </w:rPr>
        <w:t xml:space="preserve"> </w:t>
      </w:r>
      <w:r w:rsidR="003D211D">
        <w:rPr>
          <w:spacing w:val="-8"/>
          <w:sz w:val="24"/>
          <w:szCs w:val="24"/>
        </w:rPr>
        <w:t xml:space="preserve">of the </w:t>
      </w:r>
      <w:r w:rsidR="006A6905">
        <w:rPr>
          <w:spacing w:val="-8"/>
          <w:sz w:val="24"/>
          <w:szCs w:val="24"/>
        </w:rPr>
        <w:t>estimated $7M cleanup project</w:t>
      </w:r>
      <w:r w:rsidR="00E56274">
        <w:rPr>
          <w:spacing w:val="-8"/>
          <w:sz w:val="24"/>
          <w:szCs w:val="24"/>
        </w:rPr>
        <w:t xml:space="preserve"> described in this application: 1) $1M (secured) from </w:t>
      </w:r>
      <w:r w:rsidR="00561F73" w:rsidRPr="00561F73">
        <w:rPr>
          <w:spacing w:val="-8"/>
          <w:sz w:val="24"/>
          <w:szCs w:val="24"/>
        </w:rPr>
        <w:t>2022 Congressional Appropriations</w:t>
      </w:r>
      <w:r w:rsidR="00F94D8C">
        <w:rPr>
          <w:spacing w:val="-8"/>
          <w:sz w:val="24"/>
          <w:szCs w:val="24"/>
        </w:rPr>
        <w:t xml:space="preserve">; 2) $500K </w:t>
      </w:r>
      <w:r w:rsidR="0033085B">
        <w:rPr>
          <w:spacing w:val="-8"/>
          <w:sz w:val="24"/>
          <w:szCs w:val="24"/>
        </w:rPr>
        <w:t xml:space="preserve">(unsecured) </w:t>
      </w:r>
      <w:r w:rsidR="00C3439B">
        <w:rPr>
          <w:spacing w:val="-8"/>
          <w:sz w:val="24"/>
          <w:szCs w:val="24"/>
        </w:rPr>
        <w:t>in grant funding for cleanup from Business Oregon</w:t>
      </w:r>
      <w:r w:rsidR="0033085B">
        <w:rPr>
          <w:spacing w:val="-8"/>
          <w:sz w:val="24"/>
          <w:szCs w:val="24"/>
        </w:rPr>
        <w:t xml:space="preserve">; and 3) </w:t>
      </w:r>
      <w:r w:rsidR="00E77F1F">
        <w:rPr>
          <w:spacing w:val="-8"/>
          <w:sz w:val="24"/>
          <w:szCs w:val="24"/>
        </w:rPr>
        <w:t>$1.5M in CTGR funding (unsecured)</w:t>
      </w:r>
      <w:r w:rsidR="001A6888">
        <w:rPr>
          <w:spacing w:val="-8"/>
          <w:sz w:val="24"/>
          <w:szCs w:val="24"/>
        </w:rPr>
        <w:t xml:space="preserve"> (CTGR has been spending </w:t>
      </w:r>
      <w:r w:rsidR="0033085B">
        <w:rPr>
          <w:spacing w:val="-8"/>
          <w:sz w:val="24"/>
          <w:szCs w:val="24"/>
        </w:rPr>
        <w:t>$</w:t>
      </w:r>
      <w:r w:rsidR="00014B7A">
        <w:rPr>
          <w:spacing w:val="-8"/>
          <w:sz w:val="24"/>
          <w:szCs w:val="24"/>
        </w:rPr>
        <w:t xml:space="preserve">1.5-$2M annually to further Site redevelopment and </w:t>
      </w:r>
      <w:r w:rsidR="001A6888">
        <w:rPr>
          <w:spacing w:val="-8"/>
          <w:sz w:val="24"/>
          <w:szCs w:val="24"/>
        </w:rPr>
        <w:t>plans</w:t>
      </w:r>
      <w:r w:rsidR="00014B7A">
        <w:rPr>
          <w:spacing w:val="-8"/>
          <w:sz w:val="24"/>
          <w:szCs w:val="24"/>
        </w:rPr>
        <w:t xml:space="preserve"> to continue to </w:t>
      </w:r>
      <w:r w:rsidR="00024820">
        <w:rPr>
          <w:spacing w:val="-8"/>
          <w:sz w:val="24"/>
          <w:szCs w:val="24"/>
        </w:rPr>
        <w:t>do so.</w:t>
      </w:r>
      <w:r w:rsidR="005E0049">
        <w:rPr>
          <w:spacing w:val="-8"/>
          <w:sz w:val="24"/>
          <w:szCs w:val="24"/>
        </w:rPr>
        <w:t xml:space="preserve"> </w:t>
      </w:r>
      <w:r w:rsidR="008339ED" w:rsidRPr="1984BF49">
        <w:rPr>
          <w:spacing w:val="-8"/>
          <w:sz w:val="24"/>
          <w:szCs w:val="24"/>
        </w:rPr>
        <w:t xml:space="preserve">The </w:t>
      </w:r>
      <w:r w:rsidR="001A6888">
        <w:rPr>
          <w:spacing w:val="-8"/>
          <w:sz w:val="24"/>
          <w:szCs w:val="24"/>
        </w:rPr>
        <w:t xml:space="preserve">contractual </w:t>
      </w:r>
      <w:r w:rsidR="008339ED" w:rsidRPr="1984BF49">
        <w:rPr>
          <w:spacing w:val="-8"/>
          <w:sz w:val="24"/>
          <w:szCs w:val="24"/>
        </w:rPr>
        <w:t xml:space="preserve">budget assumes an average </w:t>
      </w:r>
      <w:r w:rsidR="00D42849" w:rsidRPr="1984BF49">
        <w:rPr>
          <w:spacing w:val="-8"/>
          <w:sz w:val="24"/>
          <w:szCs w:val="24"/>
        </w:rPr>
        <w:t xml:space="preserve">QEP hourly rate </w:t>
      </w:r>
      <w:r w:rsidR="008339ED" w:rsidRPr="1984BF49">
        <w:rPr>
          <w:spacing w:val="-8"/>
          <w:sz w:val="24"/>
          <w:szCs w:val="24"/>
        </w:rPr>
        <w:t>of</w:t>
      </w:r>
      <w:r w:rsidR="00D42849" w:rsidRPr="1984BF49">
        <w:rPr>
          <w:spacing w:val="-8"/>
          <w:sz w:val="24"/>
          <w:szCs w:val="24"/>
        </w:rPr>
        <w:t xml:space="preserve"> $1</w:t>
      </w:r>
      <w:r w:rsidR="710AC312" w:rsidRPr="1984BF49">
        <w:rPr>
          <w:spacing w:val="-8"/>
          <w:sz w:val="24"/>
          <w:szCs w:val="24"/>
        </w:rPr>
        <w:t>6</w:t>
      </w:r>
      <w:r w:rsidR="00D42849" w:rsidRPr="1984BF49">
        <w:rPr>
          <w:spacing w:val="-8"/>
          <w:sz w:val="24"/>
          <w:szCs w:val="24"/>
        </w:rPr>
        <w:t>0</w:t>
      </w:r>
      <w:r w:rsidR="008339ED" w:rsidRPr="1984BF49">
        <w:rPr>
          <w:spacing w:val="-8"/>
          <w:sz w:val="24"/>
          <w:szCs w:val="24"/>
        </w:rPr>
        <w:t>/hour</w:t>
      </w:r>
      <w:r w:rsidR="00526823" w:rsidRPr="1984BF49">
        <w:rPr>
          <w:spacing w:val="-8"/>
          <w:sz w:val="24"/>
          <w:szCs w:val="24"/>
        </w:rPr>
        <w:t>.</w:t>
      </w:r>
    </w:p>
    <w:tbl>
      <w:tblPr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245"/>
        <w:gridCol w:w="2070"/>
        <w:gridCol w:w="2429"/>
        <w:gridCol w:w="1801"/>
        <w:gridCol w:w="1525"/>
      </w:tblGrid>
      <w:tr w:rsidR="00883D32" w:rsidRPr="000B67FD" w14:paraId="2E856C4D" w14:textId="77777777" w:rsidTr="00763AFA">
        <w:trPr>
          <w:trHeight w:val="315"/>
        </w:trPr>
        <w:tc>
          <w:tcPr>
            <w:tcW w:w="11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48B1BCA8" w14:textId="020814E6" w:rsidR="00883D32" w:rsidRPr="000B67FD" w:rsidRDefault="00883D32" w:rsidP="00883D32">
            <w:pPr>
              <w:spacing w:after="0" w:line="240" w:lineRule="exact"/>
              <w:jc w:val="center"/>
              <w:rPr>
                <w:rFonts w:eastAsia="Times New Roman" w:cstheme="minorHAnsi"/>
                <w:color w:val="000000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</w:rPr>
              <w:t>Budget Categories</w:t>
            </w:r>
          </w:p>
        </w:tc>
        <w:tc>
          <w:tcPr>
            <w:tcW w:w="388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59F6227" w14:textId="5B25B21C" w:rsidR="00883D32" w:rsidRPr="000B67FD" w:rsidRDefault="00883D32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</w:rPr>
              <w:t>Project Tasks ($)</w:t>
            </w:r>
          </w:p>
        </w:tc>
      </w:tr>
      <w:tr w:rsidR="00CC3563" w:rsidRPr="000B67FD" w14:paraId="571A248C" w14:textId="77777777" w:rsidTr="00EE4613">
        <w:trPr>
          <w:trHeight w:val="593"/>
        </w:trPr>
        <w:tc>
          <w:tcPr>
            <w:tcW w:w="11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98A2A9" w14:textId="4DB71E58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54A0F" w14:textId="77777777" w:rsidR="00E81C8B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Task </w:t>
            </w:r>
            <w:r w:rsidRPr="000B67FD">
              <w:rPr>
                <w:rFonts w:eastAsia="Times New Roman" w:cstheme="minorHAnsi"/>
                <w:b/>
                <w:bCs/>
                <w:color w:val="000000"/>
              </w:rPr>
              <w:t xml:space="preserve">1 </w:t>
            </w:r>
          </w:p>
          <w:p w14:paraId="2DA4FB52" w14:textId="06874B5B" w:rsidR="0068654D" w:rsidRPr="000B67FD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</w:rPr>
              <w:t>Project M</w:t>
            </w:r>
            <w:r w:rsidR="00E81C8B">
              <w:rPr>
                <w:rFonts w:eastAsia="Times New Roman" w:cstheme="minorHAnsi"/>
                <w:b/>
                <w:bCs/>
                <w:color w:val="000000"/>
              </w:rPr>
              <w:t>anag</w:t>
            </w:r>
            <w:r w:rsidR="00883D32">
              <w:rPr>
                <w:rFonts w:eastAsia="Times New Roman" w:cstheme="minorHAnsi"/>
                <w:b/>
                <w:bCs/>
                <w:color w:val="000000"/>
              </w:rPr>
              <w:t>e</w:t>
            </w:r>
            <w:r w:rsidR="00E81C8B">
              <w:rPr>
                <w:rFonts w:eastAsia="Times New Roman" w:cstheme="minorHAnsi"/>
                <w:b/>
                <w:bCs/>
                <w:color w:val="000000"/>
              </w:rPr>
              <w:t>ment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D7FD36" w14:textId="77777777" w:rsidR="00883D32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Task </w:t>
            </w:r>
            <w:r w:rsidRPr="000B67FD">
              <w:rPr>
                <w:rFonts w:eastAsia="Times New Roman" w:cstheme="minorHAnsi"/>
                <w:b/>
                <w:bCs/>
                <w:color w:val="000000"/>
              </w:rPr>
              <w:t xml:space="preserve">2 </w:t>
            </w:r>
          </w:p>
          <w:p w14:paraId="2D4A4F08" w14:textId="5BE92908" w:rsidR="0068654D" w:rsidRPr="000B67FD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Community Engagement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6E23F2" w14:textId="77777777" w:rsidR="0068654D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Task 3</w:t>
            </w:r>
          </w:p>
          <w:p w14:paraId="16C6C25F" w14:textId="2CA71F72" w:rsidR="0068654D" w:rsidRPr="000B67FD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Cleanup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FB8296D" w14:textId="77777777" w:rsidR="0068654D" w:rsidRPr="000B67FD" w:rsidRDefault="0068654D" w:rsidP="00D60248">
            <w:pPr>
              <w:spacing w:after="0" w:line="240" w:lineRule="exact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</w:rPr>
              <w:t>Total</w:t>
            </w:r>
          </w:p>
        </w:tc>
      </w:tr>
      <w:tr w:rsidR="00CC3563" w:rsidRPr="000B67FD" w14:paraId="6DC4773D" w14:textId="77777777" w:rsidTr="00EE4613">
        <w:trPr>
          <w:trHeight w:val="330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E2B5" w14:textId="77777777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Personnel, etc.*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DF70D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512A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8EE1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255F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</w:tr>
      <w:tr w:rsidR="00CC3563" w:rsidRPr="000B67FD" w14:paraId="423195A6" w14:textId="77777777" w:rsidTr="00EE4613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552D" w14:textId="42754FFB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Contractual</w:t>
            </w:r>
            <w:r w:rsidR="00B00BED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19231F">
              <w:rPr>
                <w:rFonts w:eastAsia="Times New Roman" w:cstheme="minorHAnsi"/>
                <w:color w:val="000000"/>
                <w:sz w:val="24"/>
                <w:szCs w:val="24"/>
              </w:rPr>
              <w:t>(QEP)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61F" w14:textId="2329FAD5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$3</w:t>
            </w:r>
            <w:r w:rsidR="00066F3B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B4A3" w14:textId="0C4EBFD8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7A6E92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8EBB" w14:textId="29A0F033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CD063E">
              <w:rPr>
                <w:rFonts w:eastAsia="Times New Roman" w:cstheme="minorHAnsi"/>
                <w:color w:val="000000"/>
                <w:sz w:val="24"/>
                <w:szCs w:val="24"/>
              </w:rPr>
              <w:t>144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163A" w14:textId="66CD9052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5D0973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00,000</w:t>
            </w:r>
          </w:p>
        </w:tc>
      </w:tr>
      <w:tr w:rsidR="001D5EA9" w:rsidRPr="000B67FD" w14:paraId="476C6F17" w14:textId="77777777" w:rsidTr="00EE4613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EDB" w14:textId="01360662" w:rsidR="001D5EA9" w:rsidRPr="000B67FD" w:rsidRDefault="00763AFA" w:rsidP="00D60248">
            <w:pPr>
              <w:spacing w:after="0" w:line="24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Contractual (Cleanup Contractor)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9730C" w14:textId="026F02DE" w:rsidR="001D5EA9" w:rsidRPr="000B67FD" w:rsidRDefault="0067394A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F64E2" w14:textId="26BC03E2" w:rsidR="001D5EA9" w:rsidRPr="000B67FD" w:rsidRDefault="0067394A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DFD8F" w14:textId="5951EA11" w:rsidR="001D5EA9" w:rsidRPr="000B67FD" w:rsidRDefault="00593398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$3,800,000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5070D" w14:textId="2108F8B5" w:rsidR="001D5EA9" w:rsidRPr="000B67FD" w:rsidRDefault="00F0650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593398">
              <w:rPr>
                <w:rFonts w:eastAsia="Times New Roman" w:cstheme="minorHAnsi"/>
                <w:color w:val="000000"/>
                <w:sz w:val="24"/>
                <w:szCs w:val="24"/>
              </w:rPr>
              <w:t>3,800,000</w:t>
            </w:r>
          </w:p>
        </w:tc>
      </w:tr>
      <w:tr w:rsidR="00CC3563" w:rsidRPr="000B67FD" w14:paraId="4B4A56DF" w14:textId="77777777" w:rsidTr="00EE4613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CE56" w14:textId="77777777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Total Direct Costs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623A" w14:textId="553E2FB6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$3</w:t>
            </w:r>
            <w:r w:rsidR="00AD733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32A0" w14:textId="706E1FF0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AD733C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9EFA7" w14:textId="7DB9585C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593398">
              <w:rPr>
                <w:rFonts w:eastAsia="Times New Roman" w:cstheme="minorHAnsi"/>
                <w:color w:val="000000"/>
                <w:sz w:val="24"/>
                <w:szCs w:val="24"/>
              </w:rPr>
              <w:t>3,944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D52B3" w14:textId="5862D234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</w:t>
            </w:r>
            <w:r w:rsidR="003451DA">
              <w:rPr>
                <w:rFonts w:eastAsia="Times New Roman" w:cstheme="minorHAnsi"/>
                <w:color w:val="000000"/>
                <w:sz w:val="24"/>
                <w:szCs w:val="24"/>
              </w:rPr>
              <w:t>4,000</w:t>
            </w: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,000</w:t>
            </w:r>
          </w:p>
        </w:tc>
      </w:tr>
      <w:tr w:rsidR="00CC3563" w:rsidRPr="000B67FD" w14:paraId="33B63E95" w14:textId="77777777" w:rsidTr="00EE4613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8B8A" w14:textId="77777777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Total Indirect Costs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27DF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3781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13120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ACA0" w14:textId="77777777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color w:val="000000"/>
                <w:sz w:val="24"/>
                <w:szCs w:val="24"/>
              </w:rPr>
              <w:t>$0</w:t>
            </w:r>
          </w:p>
        </w:tc>
      </w:tr>
      <w:tr w:rsidR="00CC3563" w:rsidRPr="000B67FD" w14:paraId="390EBDB6" w14:textId="77777777" w:rsidTr="00EE4613">
        <w:trPr>
          <w:trHeight w:val="315"/>
        </w:trPr>
        <w:tc>
          <w:tcPr>
            <w:tcW w:w="1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1F1F1"/>
            <w:vAlign w:val="center"/>
            <w:hideMark/>
          </w:tcPr>
          <w:p w14:paraId="64DEB016" w14:textId="77777777" w:rsidR="0068654D" w:rsidRPr="000B67FD" w:rsidRDefault="0068654D" w:rsidP="00D60248">
            <w:pPr>
              <w:spacing w:after="0" w:line="240" w:lineRule="exac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TOTAL BUDGET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2D0F" w14:textId="45324ADC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$3</w:t>
            </w:r>
            <w:r w:rsidR="00AD7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,000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75F6" w14:textId="7459268A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</w:t>
            </w:r>
            <w:r w:rsidR="00AD733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4,000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2C37" w14:textId="5AC34A7B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</w:t>
            </w:r>
            <w:r w:rsidR="00D9782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3,944,0</w:t>
            </w: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5BEE" w14:textId="4338806F" w:rsidR="0068654D" w:rsidRPr="000B67FD" w:rsidRDefault="0068654D" w:rsidP="00D60248">
            <w:pPr>
              <w:spacing w:after="0" w:line="240" w:lineRule="exact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$</w:t>
            </w:r>
            <w:r w:rsidR="003451D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4,00</w:t>
            </w:r>
            <w:r w:rsidRPr="000B67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0,000</w:t>
            </w:r>
          </w:p>
        </w:tc>
      </w:tr>
    </w:tbl>
    <w:p w14:paraId="121D5AE8" w14:textId="08FFAACC" w:rsidR="00F97CFD" w:rsidRPr="00173DD2" w:rsidRDefault="00173DD2" w:rsidP="00445950">
      <w:pPr>
        <w:widowControl w:val="0"/>
        <w:spacing w:after="0" w:line="200" w:lineRule="exact"/>
        <w:ind w:left="180" w:hanging="180"/>
        <w:rPr>
          <w:rFonts w:eastAsia="Calibri" w:cstheme="minorHAnsi"/>
          <w:spacing w:val="-8"/>
          <w:sz w:val="20"/>
          <w:szCs w:val="20"/>
        </w:rPr>
      </w:pPr>
      <w:r>
        <w:rPr>
          <w:rFonts w:eastAsia="Calibri" w:cstheme="minorHAnsi"/>
          <w:spacing w:val="-8"/>
          <w:sz w:val="20"/>
          <w:szCs w:val="20"/>
        </w:rPr>
        <w:t>*</w:t>
      </w:r>
      <w:r w:rsidR="001A110D">
        <w:rPr>
          <w:rFonts w:eastAsia="Calibri" w:cstheme="minorHAnsi"/>
          <w:spacing w:val="-8"/>
          <w:sz w:val="20"/>
          <w:szCs w:val="20"/>
        </w:rPr>
        <w:t xml:space="preserve"> </w:t>
      </w:r>
      <w:r w:rsidR="00444F84" w:rsidRPr="00173DD2">
        <w:rPr>
          <w:rFonts w:eastAsia="Calibri" w:cstheme="minorHAnsi"/>
          <w:spacing w:val="-8"/>
          <w:sz w:val="20"/>
          <w:szCs w:val="20"/>
        </w:rPr>
        <w:t>CTGR</w:t>
      </w:r>
      <w:r w:rsidR="00526823" w:rsidRPr="00173DD2">
        <w:rPr>
          <w:rFonts w:eastAsia="Calibri" w:cstheme="minorHAnsi"/>
          <w:spacing w:val="-8"/>
          <w:sz w:val="20"/>
          <w:szCs w:val="20"/>
        </w:rPr>
        <w:t xml:space="preserve"> will cover </w:t>
      </w:r>
      <w:r w:rsidR="004E0DA3">
        <w:rPr>
          <w:rFonts w:eastAsia="Calibri" w:cstheme="minorHAnsi"/>
          <w:spacing w:val="-8"/>
          <w:sz w:val="20"/>
          <w:szCs w:val="20"/>
        </w:rPr>
        <w:t>personnel</w:t>
      </w:r>
      <w:r w:rsidR="00526823" w:rsidRPr="00173DD2">
        <w:rPr>
          <w:rFonts w:eastAsia="Calibri" w:cstheme="minorHAnsi"/>
          <w:spacing w:val="-8"/>
          <w:sz w:val="20"/>
          <w:szCs w:val="20"/>
        </w:rPr>
        <w:t>, fringe benefits, travel, equipment, supplies</w:t>
      </w:r>
      <w:r w:rsidR="00DA5A4F" w:rsidRPr="00173DD2">
        <w:rPr>
          <w:rFonts w:eastAsia="Calibri" w:cstheme="minorHAnsi"/>
          <w:spacing w:val="-8"/>
          <w:sz w:val="20"/>
          <w:szCs w:val="20"/>
        </w:rPr>
        <w:t>,</w:t>
      </w:r>
      <w:r w:rsidR="00526823" w:rsidRPr="00173DD2">
        <w:rPr>
          <w:rFonts w:eastAsia="Calibri" w:cstheme="minorHAnsi"/>
          <w:spacing w:val="-8"/>
          <w:sz w:val="20"/>
          <w:szCs w:val="20"/>
        </w:rPr>
        <w:t xml:space="preserve"> </w:t>
      </w:r>
      <w:r w:rsidR="00A066F1">
        <w:rPr>
          <w:rFonts w:eastAsia="Calibri" w:cstheme="minorHAnsi"/>
          <w:spacing w:val="-8"/>
          <w:sz w:val="20"/>
          <w:szCs w:val="20"/>
        </w:rPr>
        <w:t xml:space="preserve">conference fees, </w:t>
      </w:r>
      <w:r w:rsidR="00DA5A4F" w:rsidRPr="00173DD2">
        <w:rPr>
          <w:rFonts w:eastAsia="Calibri" w:cstheme="minorHAnsi"/>
          <w:spacing w:val="-8"/>
          <w:sz w:val="20"/>
          <w:szCs w:val="20"/>
        </w:rPr>
        <w:t>and costs for DEQ oversight</w:t>
      </w:r>
      <w:r w:rsidR="002512BA" w:rsidRPr="00173DD2">
        <w:rPr>
          <w:rFonts w:eastAsia="Calibri" w:cstheme="minorHAnsi"/>
          <w:spacing w:val="-8"/>
          <w:sz w:val="20"/>
          <w:szCs w:val="20"/>
        </w:rPr>
        <w:t xml:space="preserve"> with </w:t>
      </w:r>
      <w:r w:rsidR="00444F84" w:rsidRPr="00173DD2">
        <w:rPr>
          <w:rFonts w:eastAsia="Calibri" w:cstheme="minorHAnsi"/>
          <w:spacing w:val="-8"/>
          <w:sz w:val="20"/>
          <w:szCs w:val="20"/>
        </w:rPr>
        <w:t>CTGR</w:t>
      </w:r>
      <w:r w:rsidR="001A110D">
        <w:rPr>
          <w:rFonts w:eastAsia="Calibri" w:cstheme="minorHAnsi"/>
          <w:spacing w:val="-8"/>
          <w:sz w:val="20"/>
          <w:szCs w:val="20"/>
        </w:rPr>
        <w:t xml:space="preserve"> </w:t>
      </w:r>
      <w:r w:rsidR="002512BA" w:rsidRPr="00173DD2">
        <w:rPr>
          <w:rFonts w:eastAsia="Calibri" w:cstheme="minorHAnsi"/>
          <w:spacing w:val="-8"/>
          <w:sz w:val="20"/>
          <w:szCs w:val="20"/>
        </w:rPr>
        <w:t>funds.</w:t>
      </w:r>
      <w:r w:rsidR="00EE4613">
        <w:rPr>
          <w:rFonts w:eastAsia="Calibri" w:cstheme="minorHAnsi"/>
          <w:spacing w:val="-8"/>
          <w:sz w:val="20"/>
          <w:szCs w:val="20"/>
        </w:rPr>
        <w:t xml:space="preserve"> </w:t>
      </w:r>
      <w:r w:rsidR="00445950">
        <w:rPr>
          <w:rFonts w:eastAsia="Calibri" w:cstheme="minorHAnsi"/>
          <w:spacing w:val="-8"/>
          <w:sz w:val="20"/>
          <w:szCs w:val="20"/>
        </w:rPr>
        <w:t>F</w:t>
      </w:r>
      <w:r w:rsidR="00970516">
        <w:rPr>
          <w:rFonts w:eastAsia="Calibri" w:cstheme="minorHAnsi"/>
          <w:spacing w:val="-8"/>
          <w:sz w:val="20"/>
          <w:szCs w:val="20"/>
        </w:rPr>
        <w:t xml:space="preserve">urther, CTGR will not seek compensation for </w:t>
      </w:r>
      <w:r w:rsidR="001411A1">
        <w:rPr>
          <w:rFonts w:eastAsia="Calibri" w:cstheme="minorHAnsi"/>
          <w:spacing w:val="-8"/>
          <w:sz w:val="20"/>
          <w:szCs w:val="20"/>
        </w:rPr>
        <w:t>indirect costs.</w:t>
      </w:r>
    </w:p>
    <w:p w14:paraId="0A3D24E1" w14:textId="7C799B7D" w:rsidR="00F63602" w:rsidRDefault="00F63602" w:rsidP="00EF6544">
      <w:pPr>
        <w:widowControl w:val="0"/>
        <w:spacing w:before="120" w:after="0" w:line="240" w:lineRule="exact"/>
        <w:rPr>
          <w:rFonts w:eastAsia="Calibri" w:cstheme="minorHAnsi"/>
          <w:sz w:val="24"/>
          <w:szCs w:val="24"/>
        </w:rPr>
      </w:pPr>
      <w:r w:rsidRPr="000B67FD">
        <w:rPr>
          <w:rFonts w:eastAsia="Calibri" w:cstheme="minorHAnsi"/>
          <w:b/>
          <w:bCs/>
          <w:sz w:val="24"/>
          <w:szCs w:val="24"/>
        </w:rPr>
        <w:t>Task 1</w:t>
      </w:r>
      <w:r w:rsidR="00305E61">
        <w:rPr>
          <w:rFonts w:eastAsia="Calibri" w:cstheme="minorHAnsi"/>
          <w:b/>
          <w:bCs/>
          <w:sz w:val="24"/>
          <w:szCs w:val="24"/>
        </w:rPr>
        <w:t xml:space="preserve"> -</w:t>
      </w:r>
      <w:r w:rsidRPr="000B67FD">
        <w:rPr>
          <w:rFonts w:eastAsia="Calibri" w:cstheme="minorHAnsi"/>
          <w:b/>
          <w:bCs/>
          <w:sz w:val="24"/>
          <w:szCs w:val="24"/>
        </w:rPr>
        <w:t xml:space="preserve"> Project Management, Total $</w:t>
      </w:r>
      <w:r w:rsidR="00404B65" w:rsidRPr="000B67FD">
        <w:rPr>
          <w:rFonts w:eastAsia="Calibri" w:cstheme="minorHAnsi"/>
          <w:b/>
          <w:bCs/>
          <w:sz w:val="24"/>
          <w:szCs w:val="24"/>
        </w:rPr>
        <w:t>3</w:t>
      </w:r>
      <w:r w:rsidR="002121B3">
        <w:rPr>
          <w:rFonts w:eastAsia="Calibri" w:cstheme="minorHAnsi"/>
          <w:b/>
          <w:bCs/>
          <w:sz w:val="24"/>
          <w:szCs w:val="24"/>
        </w:rPr>
        <w:t>2</w:t>
      </w:r>
      <w:r w:rsidR="00404B65" w:rsidRPr="000B67FD">
        <w:rPr>
          <w:rFonts w:eastAsia="Calibri" w:cstheme="minorHAnsi"/>
          <w:b/>
          <w:bCs/>
          <w:sz w:val="24"/>
          <w:szCs w:val="24"/>
        </w:rPr>
        <w:t>,000</w:t>
      </w:r>
      <w:r w:rsidRPr="000B67FD">
        <w:rPr>
          <w:rFonts w:eastAsia="Calibri" w:cstheme="minorHAnsi"/>
          <w:b/>
          <w:bCs/>
          <w:sz w:val="24"/>
          <w:szCs w:val="24"/>
        </w:rPr>
        <w:t xml:space="preserve">: </w:t>
      </w:r>
      <w:r w:rsidRPr="000B67FD">
        <w:rPr>
          <w:rFonts w:eastAsia="Calibri" w:cstheme="minorHAnsi"/>
          <w:sz w:val="24"/>
          <w:szCs w:val="24"/>
        </w:rPr>
        <w:t>QEP</w:t>
      </w:r>
      <w:r w:rsidRPr="000B67FD">
        <w:rPr>
          <w:rFonts w:eastAsia="Calibri" w:cstheme="minorHAnsi"/>
          <w:b/>
          <w:bCs/>
          <w:sz w:val="24"/>
          <w:szCs w:val="24"/>
        </w:rPr>
        <w:t xml:space="preserve"> </w:t>
      </w:r>
      <w:r w:rsidRPr="000B67FD">
        <w:rPr>
          <w:rFonts w:eastAsia="Calibri" w:cstheme="minorHAnsi"/>
          <w:sz w:val="24"/>
          <w:szCs w:val="24"/>
        </w:rPr>
        <w:t>Labor: $</w:t>
      </w:r>
      <w:r w:rsidR="00404B65" w:rsidRPr="000B67FD">
        <w:rPr>
          <w:rFonts w:eastAsia="Calibri" w:cstheme="minorHAnsi"/>
          <w:sz w:val="24"/>
          <w:szCs w:val="24"/>
        </w:rPr>
        <w:t>3</w:t>
      </w:r>
      <w:r w:rsidR="00F57A1C">
        <w:rPr>
          <w:rFonts w:eastAsia="Calibri" w:cstheme="minorHAnsi"/>
          <w:sz w:val="24"/>
          <w:szCs w:val="24"/>
        </w:rPr>
        <w:t>2</w:t>
      </w:r>
      <w:r w:rsidR="00404B65" w:rsidRPr="000B67FD">
        <w:rPr>
          <w:rFonts w:eastAsia="Calibri" w:cstheme="minorHAnsi"/>
          <w:sz w:val="24"/>
          <w:szCs w:val="24"/>
        </w:rPr>
        <w:t>,000</w:t>
      </w:r>
      <w:r w:rsidRPr="000B67FD">
        <w:rPr>
          <w:rFonts w:eastAsia="Calibri" w:cstheme="minorHAnsi"/>
          <w:sz w:val="24"/>
          <w:szCs w:val="24"/>
        </w:rPr>
        <w:t xml:space="preserve"> </w:t>
      </w:r>
      <w:r w:rsidR="00404B65" w:rsidRPr="000B67FD">
        <w:rPr>
          <w:rFonts w:eastAsia="Calibri" w:cstheme="minorHAnsi"/>
          <w:sz w:val="24"/>
          <w:szCs w:val="24"/>
        </w:rPr>
        <w:t>(2</w:t>
      </w:r>
      <w:r w:rsidR="00F57A1C">
        <w:rPr>
          <w:rFonts w:eastAsia="Calibri" w:cstheme="minorHAnsi"/>
          <w:sz w:val="24"/>
          <w:szCs w:val="24"/>
        </w:rPr>
        <w:t>0</w:t>
      </w:r>
      <w:r w:rsidR="00404B65" w:rsidRPr="000B67FD">
        <w:rPr>
          <w:rFonts w:eastAsia="Calibri" w:cstheme="minorHAnsi"/>
          <w:sz w:val="24"/>
          <w:szCs w:val="24"/>
        </w:rPr>
        <w:t>0 hours x $1</w:t>
      </w:r>
      <w:r w:rsidR="00F57A1C">
        <w:rPr>
          <w:rFonts w:eastAsia="Calibri" w:cstheme="minorHAnsi"/>
          <w:sz w:val="24"/>
          <w:szCs w:val="24"/>
        </w:rPr>
        <w:t>6</w:t>
      </w:r>
      <w:r w:rsidR="00404B65" w:rsidRPr="000B67FD">
        <w:rPr>
          <w:rFonts w:eastAsia="Calibri" w:cstheme="minorHAnsi"/>
          <w:sz w:val="24"/>
          <w:szCs w:val="24"/>
        </w:rPr>
        <w:t>0/hour</w:t>
      </w:r>
      <w:r w:rsidR="005C3BDA">
        <w:rPr>
          <w:rFonts w:eastAsia="Calibri" w:cstheme="minorHAnsi"/>
          <w:sz w:val="24"/>
          <w:szCs w:val="24"/>
        </w:rPr>
        <w:t>)</w:t>
      </w:r>
      <w:r w:rsidRPr="000B67FD">
        <w:rPr>
          <w:rFonts w:eastAsia="Calibri" w:cstheme="minorHAnsi"/>
          <w:sz w:val="24"/>
          <w:szCs w:val="24"/>
        </w:rPr>
        <w:t>.</w:t>
      </w:r>
    </w:p>
    <w:p w14:paraId="5DAC19D8" w14:textId="166FC365" w:rsidR="00305E61" w:rsidRDefault="000D03B5" w:rsidP="000D03B5">
      <w:pPr>
        <w:widowControl w:val="0"/>
        <w:spacing w:before="60" w:after="0" w:line="240" w:lineRule="exact"/>
        <w:rPr>
          <w:rFonts w:eastAsia="Calibri" w:cstheme="minorHAnsi"/>
          <w:sz w:val="24"/>
          <w:szCs w:val="24"/>
        </w:rPr>
      </w:pPr>
      <w:r w:rsidRPr="000B67FD">
        <w:rPr>
          <w:rFonts w:eastAsia="Calibri" w:cstheme="minorHAnsi"/>
          <w:b/>
          <w:bCs/>
          <w:sz w:val="24"/>
          <w:szCs w:val="24"/>
        </w:rPr>
        <w:t xml:space="preserve">Task </w:t>
      </w:r>
      <w:r w:rsidR="00305E61">
        <w:rPr>
          <w:rFonts w:eastAsia="Calibri" w:cstheme="minorHAnsi"/>
          <w:b/>
          <w:bCs/>
          <w:sz w:val="24"/>
          <w:szCs w:val="24"/>
        </w:rPr>
        <w:t>2 -</w:t>
      </w:r>
      <w:r w:rsidR="00382CB6">
        <w:rPr>
          <w:rFonts w:eastAsia="Calibri" w:cstheme="minorHAnsi"/>
          <w:b/>
          <w:bCs/>
          <w:sz w:val="24"/>
          <w:szCs w:val="24"/>
        </w:rPr>
        <w:t xml:space="preserve"> </w:t>
      </w:r>
      <w:r w:rsidRPr="000B67FD">
        <w:rPr>
          <w:rFonts w:eastAsia="Calibri" w:cstheme="minorHAnsi"/>
          <w:b/>
          <w:bCs/>
          <w:sz w:val="24"/>
          <w:szCs w:val="24"/>
        </w:rPr>
        <w:t xml:space="preserve">Community Involvement, </w:t>
      </w:r>
      <w:r w:rsidR="00AB630A">
        <w:rPr>
          <w:rFonts w:eastAsia="Calibri" w:cstheme="minorHAnsi"/>
          <w:b/>
          <w:bCs/>
          <w:sz w:val="24"/>
          <w:szCs w:val="24"/>
        </w:rPr>
        <w:t xml:space="preserve">Total </w:t>
      </w:r>
      <w:r w:rsidRPr="000B67FD">
        <w:rPr>
          <w:rFonts w:eastAsia="Calibri" w:cstheme="minorHAnsi"/>
          <w:b/>
          <w:bCs/>
          <w:sz w:val="24"/>
          <w:szCs w:val="24"/>
        </w:rPr>
        <w:t>$</w:t>
      </w:r>
      <w:r w:rsidR="0044596A">
        <w:rPr>
          <w:rFonts w:eastAsia="Calibri" w:cstheme="minorHAnsi"/>
          <w:b/>
          <w:bCs/>
          <w:sz w:val="24"/>
          <w:szCs w:val="24"/>
        </w:rPr>
        <w:t>24</w:t>
      </w:r>
      <w:r w:rsidRPr="000B67FD">
        <w:rPr>
          <w:rFonts w:eastAsia="Calibri" w:cstheme="minorHAnsi"/>
          <w:b/>
          <w:bCs/>
          <w:sz w:val="24"/>
          <w:szCs w:val="24"/>
        </w:rPr>
        <w:t>,000</w:t>
      </w:r>
      <w:r w:rsidRPr="000B67FD">
        <w:rPr>
          <w:rFonts w:eastAsia="Calibri" w:cstheme="minorHAnsi"/>
          <w:sz w:val="24"/>
          <w:szCs w:val="24"/>
        </w:rPr>
        <w:t xml:space="preserve">: </w:t>
      </w:r>
      <w:r w:rsidRPr="00AB630A">
        <w:rPr>
          <w:rFonts w:eastAsia="Calibri" w:cstheme="minorHAnsi"/>
          <w:sz w:val="24"/>
          <w:szCs w:val="24"/>
        </w:rPr>
        <w:t>QEP Labor</w:t>
      </w:r>
      <w:r w:rsidR="00436EA1" w:rsidRPr="00AB630A">
        <w:rPr>
          <w:rFonts w:eastAsia="Calibri" w:cstheme="minorHAnsi"/>
          <w:sz w:val="24"/>
          <w:szCs w:val="24"/>
        </w:rPr>
        <w:t>:</w:t>
      </w:r>
      <w:r w:rsidRPr="00AB630A">
        <w:rPr>
          <w:rFonts w:eastAsia="Calibri" w:cstheme="minorHAnsi"/>
          <w:sz w:val="24"/>
          <w:szCs w:val="24"/>
        </w:rPr>
        <w:t xml:space="preserve"> $</w:t>
      </w:r>
      <w:r w:rsidR="00436EA1" w:rsidRPr="00AB630A">
        <w:rPr>
          <w:rFonts w:eastAsia="Calibri" w:cstheme="minorHAnsi"/>
          <w:sz w:val="24"/>
          <w:szCs w:val="24"/>
        </w:rPr>
        <w:t>24</w:t>
      </w:r>
      <w:r w:rsidRPr="00AB630A">
        <w:rPr>
          <w:rFonts w:eastAsia="Calibri" w:cstheme="minorHAnsi"/>
          <w:sz w:val="24"/>
          <w:szCs w:val="24"/>
        </w:rPr>
        <w:t>,000</w:t>
      </w:r>
      <w:r w:rsidRPr="000B67FD">
        <w:rPr>
          <w:rFonts w:eastAsia="Calibri" w:cstheme="minorHAnsi"/>
          <w:sz w:val="24"/>
          <w:szCs w:val="24"/>
        </w:rPr>
        <w:t xml:space="preserve"> (</w:t>
      </w:r>
      <w:r w:rsidR="00436EA1">
        <w:rPr>
          <w:rFonts w:eastAsia="Calibri" w:cstheme="minorHAnsi"/>
          <w:sz w:val="24"/>
          <w:szCs w:val="24"/>
        </w:rPr>
        <w:t xml:space="preserve">150 hours x </w:t>
      </w:r>
      <w:r w:rsidRPr="000B67FD">
        <w:rPr>
          <w:rFonts w:eastAsia="Calibri" w:cstheme="minorHAnsi"/>
          <w:sz w:val="24"/>
          <w:szCs w:val="24"/>
        </w:rPr>
        <w:t>$1</w:t>
      </w:r>
      <w:r w:rsidR="00305E61">
        <w:rPr>
          <w:rFonts w:eastAsia="Calibri" w:cstheme="minorHAnsi"/>
          <w:sz w:val="24"/>
          <w:szCs w:val="24"/>
        </w:rPr>
        <w:t>6</w:t>
      </w:r>
      <w:r w:rsidRPr="000B67FD">
        <w:rPr>
          <w:rFonts w:eastAsia="Calibri" w:cstheme="minorHAnsi"/>
          <w:sz w:val="24"/>
          <w:szCs w:val="24"/>
        </w:rPr>
        <w:t>0/h</w:t>
      </w:r>
      <w:r w:rsidR="00305E61">
        <w:rPr>
          <w:rFonts w:eastAsia="Calibri" w:cstheme="minorHAnsi"/>
          <w:sz w:val="24"/>
          <w:szCs w:val="24"/>
        </w:rPr>
        <w:t>ou</w:t>
      </w:r>
      <w:r w:rsidRPr="000B67FD">
        <w:rPr>
          <w:rFonts w:eastAsia="Calibri" w:cstheme="minorHAnsi"/>
          <w:sz w:val="24"/>
          <w:szCs w:val="24"/>
        </w:rPr>
        <w:t>r)</w:t>
      </w:r>
      <w:r w:rsidR="00305E61">
        <w:rPr>
          <w:rFonts w:eastAsia="Calibri" w:cstheme="minorHAnsi"/>
          <w:sz w:val="24"/>
          <w:szCs w:val="24"/>
        </w:rPr>
        <w:t>.</w:t>
      </w:r>
    </w:p>
    <w:p w14:paraId="64AC5625" w14:textId="3EB00811" w:rsidR="00FF2F62" w:rsidRDefault="00F63602" w:rsidP="00A71F0C">
      <w:pPr>
        <w:widowControl w:val="0"/>
        <w:spacing w:before="60" w:after="0" w:line="240" w:lineRule="exact"/>
        <w:rPr>
          <w:rFonts w:eastAsia="Calibri" w:cstheme="minorHAnsi"/>
          <w:sz w:val="24"/>
          <w:szCs w:val="24"/>
        </w:rPr>
      </w:pPr>
      <w:r w:rsidRPr="000B67FD">
        <w:rPr>
          <w:rFonts w:eastAsia="Calibri" w:cstheme="minorHAnsi"/>
          <w:b/>
          <w:bCs/>
          <w:sz w:val="24"/>
          <w:szCs w:val="24"/>
        </w:rPr>
        <w:t>Task 3</w:t>
      </w:r>
      <w:r w:rsidR="00FA5536">
        <w:rPr>
          <w:rFonts w:eastAsia="Calibri" w:cstheme="minorHAnsi"/>
          <w:b/>
          <w:bCs/>
          <w:sz w:val="24"/>
          <w:szCs w:val="24"/>
        </w:rPr>
        <w:t xml:space="preserve"> - Cleanup</w:t>
      </w:r>
      <w:r w:rsidRPr="000B67FD">
        <w:rPr>
          <w:rFonts w:eastAsia="Calibri" w:cstheme="minorHAnsi"/>
          <w:b/>
          <w:bCs/>
          <w:sz w:val="24"/>
          <w:szCs w:val="24"/>
        </w:rPr>
        <w:t>, Total $</w:t>
      </w:r>
      <w:r w:rsidR="00EB55FC">
        <w:rPr>
          <w:rFonts w:eastAsia="Calibri" w:cstheme="minorHAnsi"/>
          <w:b/>
          <w:bCs/>
          <w:sz w:val="24"/>
          <w:szCs w:val="24"/>
        </w:rPr>
        <w:t>3,944,000</w:t>
      </w:r>
      <w:r w:rsidRPr="00FA5536">
        <w:rPr>
          <w:rFonts w:eastAsia="Calibri" w:cstheme="minorHAnsi"/>
          <w:b/>
          <w:bCs/>
          <w:sz w:val="24"/>
          <w:szCs w:val="24"/>
        </w:rPr>
        <w:t xml:space="preserve">: </w:t>
      </w:r>
      <w:r w:rsidR="00397B99" w:rsidRPr="00FA5536">
        <w:rPr>
          <w:rFonts w:eastAsia="Calibri" w:cstheme="minorHAnsi"/>
          <w:b/>
          <w:bCs/>
          <w:sz w:val="24"/>
          <w:szCs w:val="24"/>
        </w:rPr>
        <w:t>QEP</w:t>
      </w:r>
      <w:r w:rsidR="00864AD6" w:rsidRPr="00FA5536">
        <w:rPr>
          <w:rFonts w:eastAsia="Calibri" w:cstheme="minorHAnsi"/>
          <w:b/>
          <w:bCs/>
          <w:sz w:val="24"/>
          <w:szCs w:val="24"/>
        </w:rPr>
        <w:t xml:space="preserve"> Total</w:t>
      </w:r>
      <w:r w:rsidR="00B073F5" w:rsidRPr="00FA5536">
        <w:rPr>
          <w:rFonts w:eastAsia="Calibri" w:cstheme="minorHAnsi"/>
          <w:b/>
          <w:bCs/>
          <w:sz w:val="24"/>
          <w:szCs w:val="24"/>
        </w:rPr>
        <w:t xml:space="preserve"> $144,000</w:t>
      </w:r>
      <w:r w:rsidR="00B10060" w:rsidRPr="00FA5536">
        <w:rPr>
          <w:rFonts w:eastAsia="Calibri" w:cstheme="minorHAnsi"/>
          <w:b/>
          <w:bCs/>
          <w:sz w:val="24"/>
          <w:szCs w:val="24"/>
        </w:rPr>
        <w:t>:</w:t>
      </w:r>
      <w:r w:rsidR="00B10060">
        <w:rPr>
          <w:rFonts w:eastAsia="Calibri" w:cstheme="minorHAnsi"/>
          <w:sz w:val="24"/>
          <w:szCs w:val="24"/>
        </w:rPr>
        <w:t xml:space="preserve"> </w:t>
      </w:r>
      <w:r w:rsidR="00953CD9">
        <w:rPr>
          <w:rFonts w:eastAsia="Calibri" w:cstheme="minorHAnsi"/>
          <w:sz w:val="24"/>
          <w:szCs w:val="24"/>
        </w:rPr>
        <w:t xml:space="preserve">QEP </w:t>
      </w:r>
      <w:r w:rsidR="00B10060">
        <w:rPr>
          <w:rFonts w:eastAsia="Calibri" w:cstheme="minorHAnsi"/>
          <w:sz w:val="24"/>
          <w:szCs w:val="24"/>
        </w:rPr>
        <w:t>Labor</w:t>
      </w:r>
      <w:r w:rsidR="006840AC">
        <w:rPr>
          <w:rFonts w:eastAsia="Calibri" w:cstheme="minorHAnsi"/>
          <w:sz w:val="24"/>
          <w:szCs w:val="24"/>
        </w:rPr>
        <w:t xml:space="preserve">: </w:t>
      </w:r>
      <w:r w:rsidRPr="00A61EF0">
        <w:rPr>
          <w:rFonts w:eastAsia="Calibri" w:cstheme="minorHAnsi"/>
          <w:sz w:val="24"/>
          <w:szCs w:val="24"/>
        </w:rPr>
        <w:t>$</w:t>
      </w:r>
      <w:r w:rsidR="009C3C28">
        <w:rPr>
          <w:rFonts w:eastAsia="Calibri" w:cstheme="minorHAnsi"/>
          <w:sz w:val="24"/>
          <w:szCs w:val="24"/>
        </w:rPr>
        <w:t>128,000</w:t>
      </w:r>
      <w:r w:rsidRPr="000B67FD">
        <w:rPr>
          <w:rFonts w:eastAsia="Calibri" w:cstheme="minorHAnsi"/>
          <w:sz w:val="24"/>
          <w:szCs w:val="24"/>
        </w:rPr>
        <w:t xml:space="preserve"> (</w:t>
      </w:r>
      <w:r w:rsidR="00A61EF0">
        <w:rPr>
          <w:rFonts w:eastAsia="Calibri" w:cstheme="minorHAnsi"/>
          <w:sz w:val="24"/>
          <w:szCs w:val="24"/>
        </w:rPr>
        <w:t>800</w:t>
      </w:r>
      <w:r w:rsidRPr="000B67FD">
        <w:rPr>
          <w:rFonts w:eastAsia="Calibri" w:cstheme="minorHAnsi"/>
          <w:sz w:val="24"/>
          <w:szCs w:val="24"/>
        </w:rPr>
        <w:t xml:space="preserve"> hours</w:t>
      </w:r>
      <w:r w:rsidR="0018413E" w:rsidRPr="000B67FD">
        <w:rPr>
          <w:rFonts w:eastAsia="Calibri" w:cstheme="minorHAnsi"/>
          <w:sz w:val="24"/>
          <w:szCs w:val="24"/>
        </w:rPr>
        <w:t xml:space="preserve"> x 1</w:t>
      </w:r>
      <w:r w:rsidR="006A3DB1">
        <w:rPr>
          <w:rFonts w:eastAsia="Calibri" w:cstheme="minorHAnsi"/>
          <w:sz w:val="24"/>
          <w:szCs w:val="24"/>
        </w:rPr>
        <w:t>6</w:t>
      </w:r>
      <w:r w:rsidR="0018413E" w:rsidRPr="000B67FD">
        <w:rPr>
          <w:rFonts w:eastAsia="Calibri" w:cstheme="minorHAnsi"/>
          <w:sz w:val="24"/>
          <w:szCs w:val="24"/>
        </w:rPr>
        <w:t>0/h</w:t>
      </w:r>
      <w:r w:rsidR="009C3C28">
        <w:rPr>
          <w:rFonts w:eastAsia="Calibri" w:cstheme="minorHAnsi"/>
          <w:sz w:val="24"/>
          <w:szCs w:val="24"/>
        </w:rPr>
        <w:t>our</w:t>
      </w:r>
      <w:r w:rsidR="005D604F">
        <w:rPr>
          <w:rFonts w:eastAsia="Calibri" w:cstheme="minorHAnsi"/>
          <w:sz w:val="24"/>
          <w:szCs w:val="24"/>
        </w:rPr>
        <w:t>)</w:t>
      </w:r>
      <w:r w:rsidR="0019795C">
        <w:rPr>
          <w:rFonts w:eastAsia="Calibri" w:cstheme="minorHAnsi"/>
          <w:sz w:val="24"/>
          <w:szCs w:val="24"/>
        </w:rPr>
        <w:t xml:space="preserve">; </w:t>
      </w:r>
      <w:r w:rsidR="00930ABE">
        <w:rPr>
          <w:rFonts w:eastAsia="Calibri" w:cstheme="minorHAnsi"/>
          <w:sz w:val="24"/>
          <w:szCs w:val="24"/>
        </w:rPr>
        <w:t>Confirmation sampl</w:t>
      </w:r>
      <w:r w:rsidR="005D604F">
        <w:rPr>
          <w:rFonts w:eastAsia="Calibri" w:cstheme="minorHAnsi"/>
          <w:sz w:val="24"/>
          <w:szCs w:val="24"/>
        </w:rPr>
        <w:t>e</w:t>
      </w:r>
      <w:r w:rsidR="00930ABE">
        <w:rPr>
          <w:rFonts w:eastAsia="Calibri" w:cstheme="minorHAnsi"/>
          <w:sz w:val="24"/>
          <w:szCs w:val="24"/>
        </w:rPr>
        <w:t xml:space="preserve"> laboratory testing: </w:t>
      </w:r>
      <w:r w:rsidR="007047C6">
        <w:rPr>
          <w:rFonts w:eastAsia="Calibri" w:cstheme="minorHAnsi"/>
          <w:sz w:val="24"/>
          <w:szCs w:val="24"/>
        </w:rPr>
        <w:t>$</w:t>
      </w:r>
      <w:r w:rsidR="001607B5">
        <w:rPr>
          <w:rFonts w:eastAsia="Calibri" w:cstheme="minorHAnsi"/>
          <w:sz w:val="24"/>
          <w:szCs w:val="24"/>
        </w:rPr>
        <w:t>16,000</w:t>
      </w:r>
      <w:r w:rsidR="007047C6">
        <w:rPr>
          <w:rFonts w:eastAsia="Calibri" w:cstheme="minorHAnsi"/>
          <w:sz w:val="24"/>
          <w:szCs w:val="24"/>
        </w:rPr>
        <w:t xml:space="preserve"> (</w:t>
      </w:r>
      <w:r w:rsidR="00BD1917">
        <w:rPr>
          <w:rFonts w:eastAsia="Calibri" w:cstheme="minorHAnsi"/>
          <w:sz w:val="24"/>
          <w:szCs w:val="24"/>
        </w:rPr>
        <w:t>5</w:t>
      </w:r>
      <w:r w:rsidR="00B11B2D">
        <w:rPr>
          <w:rFonts w:eastAsia="Calibri" w:cstheme="minorHAnsi"/>
          <w:sz w:val="24"/>
          <w:szCs w:val="24"/>
        </w:rPr>
        <w:t xml:space="preserve">0 samples </w:t>
      </w:r>
      <w:r w:rsidR="00AF1F25">
        <w:rPr>
          <w:rFonts w:eastAsia="Calibri" w:cstheme="minorHAnsi"/>
          <w:sz w:val="24"/>
          <w:szCs w:val="24"/>
        </w:rPr>
        <w:t>@ $</w:t>
      </w:r>
      <w:r w:rsidR="00BD1917">
        <w:rPr>
          <w:rFonts w:eastAsia="Calibri" w:cstheme="minorHAnsi"/>
          <w:sz w:val="24"/>
          <w:szCs w:val="24"/>
        </w:rPr>
        <w:t>320</w:t>
      </w:r>
      <w:r w:rsidR="003B2EE1">
        <w:rPr>
          <w:rFonts w:eastAsia="Calibri" w:cstheme="minorHAnsi"/>
          <w:sz w:val="24"/>
          <w:szCs w:val="24"/>
        </w:rPr>
        <w:t>/sample</w:t>
      </w:r>
      <w:r w:rsidR="00F259D1">
        <w:rPr>
          <w:rFonts w:eastAsia="Calibri" w:cstheme="minorHAnsi"/>
          <w:sz w:val="24"/>
          <w:szCs w:val="24"/>
        </w:rPr>
        <w:t>)</w:t>
      </w:r>
      <w:r w:rsidR="00FF2F62">
        <w:rPr>
          <w:rFonts w:eastAsia="Calibri" w:cstheme="minorHAnsi"/>
          <w:sz w:val="24"/>
          <w:szCs w:val="24"/>
        </w:rPr>
        <w:t>.</w:t>
      </w:r>
    </w:p>
    <w:p w14:paraId="1B217777" w14:textId="68CA5D10" w:rsidR="00F63602" w:rsidRPr="000B67FD" w:rsidRDefault="007B0DBF" w:rsidP="002322CC">
      <w:pPr>
        <w:widowControl w:val="0"/>
        <w:spacing w:before="60" w:after="0" w:line="240" w:lineRule="exact"/>
        <w:rPr>
          <w:rFonts w:eastAsia="Calibri" w:cstheme="minorHAnsi"/>
          <w:sz w:val="24"/>
          <w:szCs w:val="24"/>
        </w:rPr>
      </w:pPr>
      <w:r w:rsidRPr="004F6742">
        <w:rPr>
          <w:rFonts w:eastAsia="Calibri" w:cstheme="minorHAnsi"/>
          <w:b/>
          <w:bCs/>
          <w:sz w:val="24"/>
          <w:szCs w:val="24"/>
        </w:rPr>
        <w:t>Remediation Contractor</w:t>
      </w:r>
      <w:r w:rsidR="00B71816" w:rsidRPr="004F6742">
        <w:rPr>
          <w:rFonts w:eastAsia="Calibri" w:cstheme="minorHAnsi"/>
          <w:b/>
          <w:bCs/>
          <w:sz w:val="24"/>
          <w:szCs w:val="24"/>
        </w:rPr>
        <w:t xml:space="preserve"> Total </w:t>
      </w:r>
      <w:r w:rsidR="004F6742" w:rsidRPr="004F6742">
        <w:rPr>
          <w:rFonts w:eastAsia="Calibri" w:cstheme="minorHAnsi"/>
          <w:b/>
          <w:bCs/>
          <w:sz w:val="24"/>
          <w:szCs w:val="24"/>
        </w:rPr>
        <w:t>3,800,000:</w:t>
      </w:r>
      <w:r w:rsidR="004F6742">
        <w:rPr>
          <w:rFonts w:eastAsia="Calibri" w:cstheme="minorHAnsi"/>
          <w:sz w:val="24"/>
          <w:szCs w:val="24"/>
        </w:rPr>
        <w:t xml:space="preserve"> </w:t>
      </w:r>
      <w:r w:rsidR="00BD4CBF">
        <w:rPr>
          <w:rFonts w:eastAsia="Calibri" w:cstheme="minorHAnsi"/>
          <w:sz w:val="24"/>
          <w:szCs w:val="24"/>
        </w:rPr>
        <w:t>Soil hot spot cleanup</w:t>
      </w:r>
      <w:r w:rsidR="00934B2A">
        <w:rPr>
          <w:rFonts w:eastAsia="Calibri" w:cstheme="minorHAnsi"/>
          <w:sz w:val="24"/>
          <w:szCs w:val="24"/>
        </w:rPr>
        <w:t xml:space="preserve"> (nonhazardous)</w:t>
      </w:r>
      <w:r w:rsidR="007A54D1">
        <w:rPr>
          <w:rFonts w:eastAsia="Calibri" w:cstheme="minorHAnsi"/>
          <w:sz w:val="24"/>
          <w:szCs w:val="24"/>
        </w:rPr>
        <w:t>:</w:t>
      </w:r>
      <w:r w:rsidR="00BF3801">
        <w:rPr>
          <w:rFonts w:eastAsia="Calibri" w:cstheme="minorHAnsi"/>
          <w:sz w:val="24"/>
          <w:szCs w:val="24"/>
        </w:rPr>
        <w:t xml:space="preserve"> </w:t>
      </w:r>
      <w:r w:rsidR="00211AA6">
        <w:rPr>
          <w:rFonts w:eastAsia="Calibri" w:cstheme="minorHAnsi"/>
          <w:sz w:val="24"/>
          <w:szCs w:val="24"/>
        </w:rPr>
        <w:t>$</w:t>
      </w:r>
      <w:r w:rsidR="0062795E">
        <w:rPr>
          <w:rFonts w:eastAsia="Calibri" w:cstheme="minorHAnsi"/>
          <w:sz w:val="24"/>
          <w:szCs w:val="24"/>
        </w:rPr>
        <w:t>1,881</w:t>
      </w:r>
      <w:r w:rsidR="00E134C3">
        <w:rPr>
          <w:rFonts w:eastAsia="Calibri" w:cstheme="minorHAnsi"/>
          <w:sz w:val="24"/>
          <w:szCs w:val="24"/>
        </w:rPr>
        <w:t>,000</w:t>
      </w:r>
      <w:r w:rsidR="00296AEB">
        <w:rPr>
          <w:rFonts w:eastAsia="Calibri" w:cstheme="minorHAnsi"/>
          <w:sz w:val="24"/>
          <w:szCs w:val="24"/>
        </w:rPr>
        <w:t xml:space="preserve"> (</w:t>
      </w:r>
      <w:r w:rsidR="005D2BD5">
        <w:rPr>
          <w:rFonts w:eastAsia="Calibri" w:cstheme="minorHAnsi"/>
          <w:sz w:val="24"/>
          <w:szCs w:val="24"/>
        </w:rPr>
        <w:t>19,800 yd</w:t>
      </w:r>
      <w:r w:rsidR="006A3BF6" w:rsidRPr="00B26112">
        <w:rPr>
          <w:rFonts w:eastAsia="Calibri" w:cstheme="minorHAnsi"/>
          <w:sz w:val="24"/>
          <w:szCs w:val="24"/>
          <w:vertAlign w:val="superscript"/>
        </w:rPr>
        <w:t>3</w:t>
      </w:r>
      <w:r w:rsidR="00CC14E1">
        <w:rPr>
          <w:rFonts w:eastAsia="Calibri" w:cstheme="minorHAnsi"/>
          <w:sz w:val="24"/>
          <w:szCs w:val="24"/>
        </w:rPr>
        <w:t xml:space="preserve"> x </w:t>
      </w:r>
      <w:r w:rsidR="00050753">
        <w:rPr>
          <w:rFonts w:eastAsia="Calibri" w:cstheme="minorHAnsi"/>
          <w:sz w:val="24"/>
          <w:szCs w:val="24"/>
        </w:rPr>
        <w:t>$95/yd</w:t>
      </w:r>
      <w:r w:rsidR="00050753" w:rsidRPr="00BE7C82">
        <w:rPr>
          <w:rFonts w:eastAsia="Calibri" w:cstheme="minorHAnsi"/>
          <w:sz w:val="24"/>
          <w:szCs w:val="24"/>
          <w:vertAlign w:val="superscript"/>
        </w:rPr>
        <w:t>3</w:t>
      </w:r>
      <w:r w:rsidR="008B2DBE">
        <w:rPr>
          <w:rFonts w:eastAsia="Calibri" w:cstheme="minorHAnsi"/>
          <w:sz w:val="24"/>
          <w:szCs w:val="24"/>
        </w:rPr>
        <w:t>)</w:t>
      </w:r>
      <w:r w:rsidR="005E60C3">
        <w:rPr>
          <w:rFonts w:eastAsia="Calibri" w:cstheme="minorHAnsi"/>
          <w:sz w:val="24"/>
          <w:szCs w:val="24"/>
        </w:rPr>
        <w:t>;</w:t>
      </w:r>
      <w:r w:rsidR="004028AE">
        <w:rPr>
          <w:rFonts w:eastAsia="Calibri" w:cstheme="minorHAnsi"/>
          <w:sz w:val="24"/>
          <w:szCs w:val="24"/>
        </w:rPr>
        <w:t xml:space="preserve"> </w:t>
      </w:r>
      <w:r w:rsidR="004028AE">
        <w:rPr>
          <w:rFonts w:eastAsia="Calibri" w:cstheme="minorHAnsi"/>
          <w:sz w:val="24"/>
          <w:szCs w:val="24"/>
        </w:rPr>
        <w:t>Soil hot spot cleanup (hazardous): $</w:t>
      </w:r>
      <w:r w:rsidR="008A07DD">
        <w:rPr>
          <w:rFonts w:eastAsia="Calibri" w:cstheme="minorHAnsi"/>
          <w:sz w:val="24"/>
          <w:szCs w:val="24"/>
        </w:rPr>
        <w:t>30,000</w:t>
      </w:r>
      <w:r w:rsidR="004028AE">
        <w:rPr>
          <w:rFonts w:eastAsia="Calibri" w:cstheme="minorHAnsi"/>
          <w:sz w:val="24"/>
          <w:szCs w:val="24"/>
        </w:rPr>
        <w:t xml:space="preserve"> (</w:t>
      </w:r>
      <w:r w:rsidR="008A07DD">
        <w:rPr>
          <w:rFonts w:eastAsia="Calibri" w:cstheme="minorHAnsi"/>
          <w:sz w:val="24"/>
          <w:szCs w:val="24"/>
        </w:rPr>
        <w:t>2</w:t>
      </w:r>
      <w:r w:rsidR="004028AE">
        <w:rPr>
          <w:rFonts w:eastAsia="Calibri" w:cstheme="minorHAnsi"/>
          <w:sz w:val="24"/>
          <w:szCs w:val="24"/>
        </w:rPr>
        <w:t>00 yd</w:t>
      </w:r>
      <w:r w:rsidR="004028AE" w:rsidRPr="00B26112">
        <w:rPr>
          <w:rFonts w:eastAsia="Calibri" w:cstheme="minorHAnsi"/>
          <w:sz w:val="24"/>
          <w:szCs w:val="24"/>
          <w:vertAlign w:val="superscript"/>
        </w:rPr>
        <w:t>3</w:t>
      </w:r>
      <w:r w:rsidR="004028AE">
        <w:rPr>
          <w:rFonts w:eastAsia="Calibri" w:cstheme="minorHAnsi"/>
          <w:sz w:val="24"/>
          <w:szCs w:val="24"/>
        </w:rPr>
        <w:t xml:space="preserve"> x $</w:t>
      </w:r>
      <w:r w:rsidR="008A07DD">
        <w:rPr>
          <w:rFonts w:eastAsia="Calibri" w:cstheme="minorHAnsi"/>
          <w:sz w:val="24"/>
          <w:szCs w:val="24"/>
        </w:rPr>
        <w:t>15</w:t>
      </w:r>
      <w:r w:rsidR="00C55ADB">
        <w:rPr>
          <w:rFonts w:eastAsia="Calibri" w:cstheme="minorHAnsi"/>
          <w:sz w:val="24"/>
          <w:szCs w:val="24"/>
        </w:rPr>
        <w:t>0</w:t>
      </w:r>
      <w:r w:rsidR="004028AE">
        <w:rPr>
          <w:rFonts w:eastAsia="Calibri" w:cstheme="minorHAnsi"/>
          <w:sz w:val="24"/>
          <w:szCs w:val="24"/>
        </w:rPr>
        <w:t>/yd</w:t>
      </w:r>
      <w:r w:rsidR="004028AE" w:rsidRPr="00BE7C82">
        <w:rPr>
          <w:rFonts w:eastAsia="Calibri" w:cstheme="minorHAnsi"/>
          <w:sz w:val="24"/>
          <w:szCs w:val="24"/>
          <w:vertAlign w:val="superscript"/>
        </w:rPr>
        <w:t>3</w:t>
      </w:r>
      <w:r w:rsidR="004028AE">
        <w:rPr>
          <w:rFonts w:eastAsia="Calibri" w:cstheme="minorHAnsi"/>
          <w:sz w:val="24"/>
          <w:szCs w:val="24"/>
        </w:rPr>
        <w:t>);</w:t>
      </w:r>
      <w:r w:rsidR="00BA2657">
        <w:rPr>
          <w:rFonts w:eastAsia="Calibri" w:cstheme="minorHAnsi"/>
          <w:sz w:val="24"/>
          <w:szCs w:val="24"/>
        </w:rPr>
        <w:t xml:space="preserve"> Ecological restoration </w:t>
      </w:r>
      <w:r w:rsidR="00DC5095">
        <w:rPr>
          <w:rFonts w:eastAsia="Calibri" w:cstheme="minorHAnsi"/>
          <w:sz w:val="24"/>
          <w:szCs w:val="24"/>
        </w:rPr>
        <w:t>soil cleanup</w:t>
      </w:r>
      <w:r w:rsidR="00CF5E79">
        <w:rPr>
          <w:rFonts w:eastAsia="Calibri" w:cstheme="minorHAnsi"/>
          <w:sz w:val="24"/>
          <w:szCs w:val="24"/>
        </w:rPr>
        <w:t xml:space="preserve">: </w:t>
      </w:r>
      <w:r w:rsidR="00F00862">
        <w:rPr>
          <w:rFonts w:eastAsia="Calibri" w:cstheme="minorHAnsi"/>
          <w:sz w:val="24"/>
          <w:szCs w:val="24"/>
        </w:rPr>
        <w:t>$</w:t>
      </w:r>
      <w:r w:rsidR="002E38C5">
        <w:rPr>
          <w:rFonts w:eastAsia="Calibri" w:cstheme="minorHAnsi"/>
          <w:sz w:val="24"/>
          <w:szCs w:val="24"/>
        </w:rPr>
        <w:t>1,889</w:t>
      </w:r>
      <w:r w:rsidR="0095226A">
        <w:rPr>
          <w:rFonts w:eastAsia="Calibri" w:cstheme="minorHAnsi"/>
          <w:sz w:val="24"/>
          <w:szCs w:val="24"/>
        </w:rPr>
        <w:t>,00</w:t>
      </w:r>
      <w:r w:rsidR="00FA72C3">
        <w:rPr>
          <w:rFonts w:eastAsia="Calibri" w:cstheme="minorHAnsi"/>
          <w:sz w:val="24"/>
          <w:szCs w:val="24"/>
        </w:rPr>
        <w:t>0</w:t>
      </w:r>
      <w:r w:rsidR="00DA6371">
        <w:rPr>
          <w:rFonts w:eastAsia="Calibri" w:cstheme="minorHAnsi"/>
          <w:sz w:val="24"/>
          <w:szCs w:val="24"/>
        </w:rPr>
        <w:t xml:space="preserve"> (</w:t>
      </w:r>
      <w:r w:rsidR="00250F32">
        <w:rPr>
          <w:rFonts w:eastAsia="Calibri" w:cstheme="minorHAnsi"/>
          <w:sz w:val="24"/>
          <w:szCs w:val="24"/>
        </w:rPr>
        <w:t>41,000</w:t>
      </w:r>
      <w:r w:rsidR="00304C79">
        <w:rPr>
          <w:rFonts w:eastAsia="Calibri" w:cstheme="minorHAnsi"/>
          <w:sz w:val="24"/>
          <w:szCs w:val="24"/>
        </w:rPr>
        <w:t xml:space="preserve"> yd</w:t>
      </w:r>
      <w:r w:rsidR="00304C79" w:rsidRPr="00EB7EC0">
        <w:rPr>
          <w:rFonts w:eastAsia="Calibri" w:cstheme="minorHAnsi"/>
          <w:sz w:val="24"/>
          <w:szCs w:val="24"/>
          <w:vertAlign w:val="superscript"/>
        </w:rPr>
        <w:t>3</w:t>
      </w:r>
      <w:r w:rsidR="00304C79">
        <w:rPr>
          <w:rFonts w:eastAsia="Calibri" w:cstheme="minorHAnsi"/>
          <w:sz w:val="24"/>
          <w:szCs w:val="24"/>
        </w:rPr>
        <w:t xml:space="preserve"> x $</w:t>
      </w:r>
      <w:r w:rsidR="00310529">
        <w:rPr>
          <w:rFonts w:eastAsia="Calibri" w:cstheme="minorHAnsi"/>
          <w:sz w:val="24"/>
          <w:szCs w:val="24"/>
        </w:rPr>
        <w:t>46.07/</w:t>
      </w:r>
      <w:r w:rsidR="00AB29D3">
        <w:rPr>
          <w:rFonts w:eastAsia="Calibri" w:cstheme="minorHAnsi"/>
          <w:sz w:val="24"/>
          <w:szCs w:val="24"/>
        </w:rPr>
        <w:t>yd</w:t>
      </w:r>
      <w:r w:rsidR="00AB29D3" w:rsidRPr="00EB7EC0">
        <w:rPr>
          <w:rFonts w:eastAsia="Calibri" w:cstheme="minorHAnsi"/>
          <w:sz w:val="24"/>
          <w:szCs w:val="24"/>
          <w:vertAlign w:val="superscript"/>
        </w:rPr>
        <w:t>3</w:t>
      </w:r>
      <w:r w:rsidR="00AB29D3">
        <w:rPr>
          <w:rFonts w:eastAsia="Calibri" w:cstheme="minorHAnsi"/>
          <w:sz w:val="24"/>
          <w:szCs w:val="24"/>
        </w:rPr>
        <w:t>)</w:t>
      </w:r>
      <w:r w:rsidR="00EB7EC0">
        <w:rPr>
          <w:rFonts w:eastAsia="Calibri" w:cstheme="minorHAnsi"/>
          <w:sz w:val="24"/>
          <w:szCs w:val="24"/>
        </w:rPr>
        <w:t>.</w:t>
      </w:r>
    </w:p>
    <w:p w14:paraId="4D4FF99B" w14:textId="613D6265" w:rsidR="00A21DA8" w:rsidRPr="000832D9" w:rsidRDefault="00384FCB" w:rsidP="00A21DA8">
      <w:pPr>
        <w:pStyle w:val="BodyText"/>
        <w:spacing w:before="60" w:after="80" w:line="240" w:lineRule="exact"/>
        <w:ind w:right="158"/>
        <w:rPr>
          <w:rFonts w:eastAsia="Times New Roman" w:cstheme="minorHAnsi"/>
          <w:color w:val="000000" w:themeColor="text1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lastRenderedPageBreak/>
        <w:t>3.</w:t>
      </w:r>
      <w:r w:rsidR="0032173A" w:rsidRPr="000B67FD">
        <w:rPr>
          <w:rFonts w:cstheme="minorHAnsi"/>
          <w:b/>
          <w:spacing w:val="-8"/>
          <w:sz w:val="24"/>
          <w:szCs w:val="24"/>
          <w:u w:val="single"/>
        </w:rPr>
        <w:t>g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32173A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Plan to Measure and Evaluate</w:t>
      </w:r>
      <w:r w:rsidR="00994997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Environmental </w:t>
      </w:r>
      <w:r w:rsidR="0032173A" w:rsidRPr="000B67FD">
        <w:rPr>
          <w:rFonts w:cstheme="minorHAnsi"/>
          <w:b/>
          <w:spacing w:val="-8"/>
          <w:sz w:val="24"/>
          <w:szCs w:val="24"/>
          <w:u w:val="single"/>
        </w:rPr>
        <w:t xml:space="preserve">Progress and </w:t>
      </w:r>
      <w:r w:rsidR="00994997" w:rsidRPr="000B67FD">
        <w:rPr>
          <w:rFonts w:cstheme="minorHAnsi"/>
          <w:b/>
          <w:spacing w:val="-8"/>
          <w:sz w:val="24"/>
          <w:szCs w:val="24"/>
          <w:u w:val="single"/>
        </w:rPr>
        <w:t>Results</w:t>
      </w:r>
      <w:proofErr w:type="gramStart"/>
      <w:r w:rsidR="00CB791B" w:rsidRPr="000B67FD">
        <w:rPr>
          <w:rFonts w:cstheme="minorHAnsi"/>
          <w:b/>
          <w:spacing w:val="-8"/>
          <w:sz w:val="24"/>
          <w:szCs w:val="24"/>
        </w:rPr>
        <w:t>:</w:t>
      </w:r>
      <w:r w:rsidR="009F6023" w:rsidRPr="000B67FD">
        <w:rPr>
          <w:rFonts w:cstheme="minorHAnsi"/>
          <w:b/>
          <w:spacing w:val="-8"/>
          <w:sz w:val="24"/>
          <w:szCs w:val="24"/>
        </w:rPr>
        <w:t xml:space="preserve"> </w:t>
      </w:r>
      <w:r w:rsidR="000C13AA" w:rsidRPr="000B67FD">
        <w:rPr>
          <w:rFonts w:cstheme="minorHAnsi"/>
          <w:bCs/>
          <w:i/>
          <w:iCs/>
          <w:color w:val="006600"/>
          <w:spacing w:val="-8"/>
          <w:sz w:val="24"/>
          <w:szCs w:val="24"/>
        </w:rPr>
        <w:t xml:space="preserve"> 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>When</w:t>
      </w:r>
      <w:proofErr w:type="gramEnd"/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preparing the project </w:t>
      </w:r>
      <w:r w:rsidR="00536B22">
        <w:rPr>
          <w:rFonts w:eastAsia="Times New Roman" w:cstheme="minorHAnsi"/>
          <w:color w:val="000000" w:themeColor="text1"/>
          <w:sz w:val="24"/>
          <w:szCs w:val="24"/>
        </w:rPr>
        <w:t>RAP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, </w:t>
      </w:r>
      <w:r w:rsidR="00A21368">
        <w:rPr>
          <w:rFonts w:eastAsia="Times New Roman" w:cstheme="minorHAnsi"/>
          <w:color w:val="000000" w:themeColor="text1"/>
          <w:sz w:val="24"/>
          <w:szCs w:val="24"/>
        </w:rPr>
        <w:t xml:space="preserve">CTGR and its QEP 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will develop a detailed schedule of key project milestones such as </w:t>
      </w:r>
      <w:r w:rsidR="006F215B">
        <w:rPr>
          <w:rFonts w:eastAsia="Times New Roman" w:cstheme="minorHAnsi"/>
          <w:color w:val="000000" w:themeColor="text1"/>
          <w:sz w:val="24"/>
          <w:szCs w:val="24"/>
        </w:rPr>
        <w:t xml:space="preserve">remediation contractor procurement, 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>outreach event</w:t>
      </w:r>
      <w:r w:rsidR="00CF3BFF">
        <w:rPr>
          <w:rFonts w:eastAsia="Times New Roman" w:cstheme="minorHAnsi"/>
          <w:color w:val="000000" w:themeColor="text1"/>
          <w:sz w:val="24"/>
          <w:szCs w:val="24"/>
        </w:rPr>
        <w:t xml:space="preserve"> dates, cleanup start date, and cleanup completion date.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At least monthly, </w:t>
      </w:r>
      <w:r w:rsidR="00CF3BFF">
        <w:rPr>
          <w:rFonts w:eastAsia="Times New Roman" w:cstheme="minorHAnsi"/>
          <w:color w:val="000000" w:themeColor="text1"/>
          <w:sz w:val="24"/>
          <w:szCs w:val="24"/>
        </w:rPr>
        <w:t>CTGR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will track and evaluate progress in achieving outputs and milestones against the </w:t>
      </w:r>
      <w:r w:rsidR="00CF3BFF">
        <w:rPr>
          <w:rFonts w:eastAsia="Times New Roman" w:cstheme="minorHAnsi"/>
          <w:color w:val="000000" w:themeColor="text1"/>
          <w:sz w:val="24"/>
          <w:szCs w:val="24"/>
        </w:rPr>
        <w:t>RAP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schedule. </w:t>
      </w:r>
      <w:r w:rsidR="00CF3BFF">
        <w:rPr>
          <w:rFonts w:eastAsia="Times New Roman" w:cstheme="minorHAnsi"/>
          <w:color w:val="000000" w:themeColor="text1"/>
          <w:sz w:val="24"/>
          <w:szCs w:val="24"/>
        </w:rPr>
        <w:t>CTGR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will monitor the project budget </w:t>
      </w:r>
      <w:r w:rsidR="00AA0002" w:rsidRPr="000832D9">
        <w:rPr>
          <w:rFonts w:eastAsia="Times New Roman" w:cstheme="minorHAnsi"/>
          <w:color w:val="000000" w:themeColor="text1"/>
          <w:sz w:val="24"/>
          <w:szCs w:val="24"/>
        </w:rPr>
        <w:t>concurrently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with tracking the schedule, on at least a monthly basis. </w:t>
      </w:r>
      <w:r w:rsidR="00CF3BFF">
        <w:rPr>
          <w:rFonts w:eastAsia="Times New Roman" w:cstheme="minorHAnsi"/>
          <w:color w:val="000000" w:themeColor="text1"/>
          <w:sz w:val="24"/>
          <w:szCs w:val="24"/>
        </w:rPr>
        <w:t>CTGR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will document project outputs, outcomes, and results in </w:t>
      </w:r>
      <w:r w:rsidR="00E54E2D">
        <w:rPr>
          <w:rFonts w:eastAsia="Times New Roman" w:cstheme="minorHAnsi"/>
          <w:color w:val="000000" w:themeColor="text1"/>
          <w:sz w:val="24"/>
          <w:szCs w:val="24"/>
        </w:rPr>
        <w:t>each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quarterly progress report </w:t>
      </w:r>
      <w:r w:rsidR="00E54E2D">
        <w:rPr>
          <w:rFonts w:eastAsia="Times New Roman" w:cstheme="minorHAnsi"/>
          <w:color w:val="000000" w:themeColor="text1"/>
          <w:sz w:val="24"/>
          <w:szCs w:val="24"/>
        </w:rPr>
        <w:t xml:space="preserve">submitted 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to EPA and in EPA’s ACRES database. Anticipated outputs are described in Section 3b. Anticipated outcomes and results that </w:t>
      </w:r>
      <w:r w:rsidR="000209AD">
        <w:rPr>
          <w:rFonts w:eastAsia="Times New Roman" w:cstheme="minorHAnsi"/>
          <w:color w:val="000000" w:themeColor="text1"/>
          <w:sz w:val="24"/>
          <w:szCs w:val="24"/>
        </w:rPr>
        <w:t>CTGR</w:t>
      </w:r>
      <w:r w:rsidR="00A21DA8" w:rsidRPr="000832D9">
        <w:rPr>
          <w:rFonts w:eastAsia="Times New Roman" w:cstheme="minorHAnsi"/>
          <w:color w:val="000000" w:themeColor="text1"/>
          <w:sz w:val="24"/>
          <w:szCs w:val="24"/>
        </w:rPr>
        <w:t xml:space="preserve"> will track include:</w:t>
      </w:r>
    </w:p>
    <w:tbl>
      <w:tblPr>
        <w:tblStyle w:val="TableGrid"/>
        <w:tblW w:w="5211" w:type="pct"/>
        <w:tblLook w:val="04A0" w:firstRow="1" w:lastRow="0" w:firstColumn="1" w:lastColumn="0" w:noHBand="0" w:noVBand="1"/>
      </w:tblPr>
      <w:tblGrid>
        <w:gridCol w:w="4926"/>
        <w:gridCol w:w="5569"/>
      </w:tblGrid>
      <w:tr w:rsidR="00A21DA8" w:rsidRPr="0059592C" w14:paraId="34FD6D29" w14:textId="77777777" w:rsidTr="00A73477">
        <w:trPr>
          <w:trHeight w:val="1637"/>
        </w:trPr>
        <w:tc>
          <w:tcPr>
            <w:tcW w:w="2347" w:type="pct"/>
            <w:tcMar>
              <w:left w:w="105" w:type="dxa"/>
              <w:right w:w="105" w:type="dxa"/>
            </w:tcMar>
          </w:tcPr>
          <w:p w14:paraId="1027803C" w14:textId="77777777" w:rsidR="00A21DA8" w:rsidRPr="0059592C" w:rsidRDefault="00A21DA8" w:rsidP="0050723C">
            <w:pPr>
              <w:tabs>
                <w:tab w:val="left" w:pos="225"/>
              </w:tabs>
              <w:spacing w:before="40" w:line="197" w:lineRule="auto"/>
              <w:ind w:right="187"/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>Environmental Outcomes:</w:t>
            </w:r>
          </w:p>
          <w:p w14:paraId="03BF10BA" w14:textId="5DE4DADC" w:rsidR="00A21DA8" w:rsidRPr="00C12225" w:rsidRDefault="00A21DA8" w:rsidP="00C12225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Volume of </w:t>
            </w:r>
            <w:r w:rsidR="00D354D1">
              <w:rPr>
                <w:rFonts w:eastAsia="Times New Roman" w:cstheme="minorHAnsi"/>
                <w:spacing w:val="-6"/>
                <w:sz w:val="24"/>
                <w:szCs w:val="24"/>
              </w:rPr>
              <w:t>contaminated soil</w:t>
            </w:r>
            <w:r w:rsidR="00E17116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removed</w:t>
            </w:r>
          </w:p>
          <w:p w14:paraId="53F15136" w14:textId="624114A7" w:rsidR="00A21DA8" w:rsidRPr="0059592C" w:rsidRDefault="00E65CBE" w:rsidP="00A21DA8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>
              <w:rPr>
                <w:rFonts w:eastAsia="Times New Roman" w:cstheme="minorHAnsi"/>
                <w:spacing w:val="-6"/>
                <w:sz w:val="24"/>
                <w:szCs w:val="24"/>
              </w:rPr>
              <w:t>Nu</w:t>
            </w:r>
            <w:r w:rsidR="005E0683">
              <w:rPr>
                <w:rFonts w:eastAsia="Times New Roman" w:cstheme="minorHAnsi"/>
                <w:spacing w:val="-6"/>
                <w:sz w:val="24"/>
                <w:szCs w:val="24"/>
              </w:rPr>
              <w:t>mber of acres</w:t>
            </w:r>
            <w:r w:rsidR="00483F66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</w:t>
            </w:r>
            <w:r w:rsidR="005B3AEC">
              <w:rPr>
                <w:rFonts w:eastAsia="Times New Roman" w:cstheme="minorHAnsi"/>
                <w:spacing w:val="-6"/>
                <w:sz w:val="24"/>
                <w:szCs w:val="24"/>
              </w:rPr>
              <w:t>ecological restoration</w:t>
            </w:r>
            <w:r w:rsidR="004F00EA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completed to improve </w:t>
            </w:r>
            <w:r w:rsidR="000060EF">
              <w:rPr>
                <w:rFonts w:eastAsia="Times New Roman" w:cstheme="minorHAnsi"/>
                <w:spacing w:val="-6"/>
                <w:sz w:val="24"/>
                <w:szCs w:val="24"/>
              </w:rPr>
              <w:t>habitat</w:t>
            </w:r>
          </w:p>
          <w:p w14:paraId="3136FAA7" w14:textId="1A5B9D86" w:rsidR="00A21DA8" w:rsidRPr="0059592C" w:rsidRDefault="00A21DA8" w:rsidP="00A21DA8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Amount of energy savings from </w:t>
            </w:r>
            <w:r w:rsidR="00BF1425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green remediation </w:t>
            </w: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>measures</w:t>
            </w:r>
          </w:p>
        </w:tc>
        <w:tc>
          <w:tcPr>
            <w:tcW w:w="2653" w:type="pct"/>
            <w:tcMar>
              <w:left w:w="105" w:type="dxa"/>
              <w:right w:w="105" w:type="dxa"/>
            </w:tcMar>
          </w:tcPr>
          <w:p w14:paraId="253AA58C" w14:textId="77777777" w:rsidR="00A21DA8" w:rsidRPr="0059592C" w:rsidRDefault="00A21DA8" w:rsidP="0050723C">
            <w:pPr>
              <w:tabs>
                <w:tab w:val="left" w:pos="225"/>
              </w:tabs>
              <w:spacing w:before="40" w:line="197" w:lineRule="auto"/>
              <w:ind w:right="187"/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b/>
                <w:bCs/>
                <w:spacing w:val="-6"/>
                <w:sz w:val="24"/>
                <w:szCs w:val="24"/>
              </w:rPr>
              <w:t xml:space="preserve">Economic Outcomes: </w:t>
            </w:r>
          </w:p>
          <w:p w14:paraId="55EDAD45" w14:textId="77777777" w:rsidR="00A21DA8" w:rsidRPr="0059592C" w:rsidRDefault="00A21DA8" w:rsidP="00A21DA8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>Number of permanent and temporary jobs created</w:t>
            </w:r>
          </w:p>
          <w:p w14:paraId="1A1D1FDD" w14:textId="1C6A7685" w:rsidR="00A21DA8" w:rsidRPr="0059592C" w:rsidRDefault="00C12225" w:rsidP="00A21DA8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 xml:space="preserve">Number of acres of </w:t>
            </w:r>
            <w:r>
              <w:rPr>
                <w:rFonts w:eastAsia="Times New Roman" w:cstheme="minorHAnsi"/>
                <w:spacing w:val="-6"/>
                <w:sz w:val="24"/>
                <w:szCs w:val="24"/>
              </w:rPr>
              <w:t xml:space="preserve">land </w:t>
            </w:r>
            <w:proofErr w:type="gramStart"/>
            <w:r>
              <w:rPr>
                <w:rFonts w:eastAsia="Times New Roman" w:cstheme="minorHAnsi"/>
                <w:spacing w:val="-6"/>
                <w:sz w:val="24"/>
                <w:szCs w:val="24"/>
              </w:rPr>
              <w:t>readied</w:t>
            </w:r>
            <w:proofErr w:type="gramEnd"/>
            <w:r>
              <w:rPr>
                <w:rFonts w:eastAsia="Times New Roman" w:cstheme="minorHAnsi"/>
                <w:spacing w:val="-6"/>
                <w:sz w:val="24"/>
                <w:szCs w:val="24"/>
              </w:rPr>
              <w:t xml:space="preserve"> for re</w:t>
            </w: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>development</w:t>
            </w:r>
          </w:p>
          <w:p w14:paraId="6A5C150F" w14:textId="77777777" w:rsidR="00A21DA8" w:rsidRPr="0059592C" w:rsidRDefault="00A21DA8" w:rsidP="00A21DA8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>Increase in local property values and tax revenues</w:t>
            </w:r>
          </w:p>
          <w:p w14:paraId="5E3F145F" w14:textId="20E14936" w:rsidR="00A21DA8" w:rsidRPr="00CA141A" w:rsidRDefault="00A21DA8" w:rsidP="00CA141A">
            <w:pPr>
              <w:pStyle w:val="ListParagraph"/>
              <w:numPr>
                <w:ilvl w:val="0"/>
                <w:numId w:val="34"/>
              </w:numPr>
              <w:spacing w:before="40" w:line="197" w:lineRule="auto"/>
              <w:ind w:left="346" w:right="187" w:hanging="270"/>
              <w:rPr>
                <w:rFonts w:eastAsia="Times New Roman" w:cstheme="minorHAnsi"/>
                <w:spacing w:val="-6"/>
                <w:sz w:val="24"/>
                <w:szCs w:val="24"/>
              </w:rPr>
            </w:pPr>
            <w:r w:rsidRPr="0059592C">
              <w:rPr>
                <w:rFonts w:eastAsia="Times New Roman" w:cstheme="minorHAnsi"/>
                <w:spacing w:val="-6"/>
                <w:sz w:val="24"/>
                <w:szCs w:val="24"/>
              </w:rPr>
              <w:t>Amount of funding leveraged</w:t>
            </w:r>
          </w:p>
        </w:tc>
      </w:tr>
    </w:tbl>
    <w:p w14:paraId="2EB0D1DD" w14:textId="79517FE7" w:rsidR="009303F7" w:rsidRPr="000B67FD" w:rsidRDefault="00384FCB" w:rsidP="00A21DA8">
      <w:pPr>
        <w:widowControl w:val="0"/>
        <w:spacing w:before="80" w:after="80" w:line="260" w:lineRule="exact"/>
        <w:rPr>
          <w:rFonts w:cstheme="minorHAnsi"/>
          <w:bCs/>
          <w:i/>
          <w:iCs/>
          <w:color w:val="0000FF"/>
          <w:spacing w:val="-8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t xml:space="preserve">4. PROGRAMMATIC CAPABILITY </w:t>
      </w:r>
      <w:r w:rsidR="00FE0323" w:rsidRPr="000B67FD">
        <w:rPr>
          <w:rFonts w:cstheme="minorHAnsi"/>
          <w:b/>
          <w:spacing w:val="-8"/>
          <w:sz w:val="24"/>
          <w:szCs w:val="24"/>
          <w:u w:val="single"/>
        </w:rPr>
        <w:t>AND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 xml:space="preserve"> PAST PERFORMANCE</w:t>
      </w:r>
      <w:r w:rsidR="00CB791B" w:rsidRPr="000B67FD">
        <w:rPr>
          <w:rFonts w:cstheme="minorHAnsi"/>
          <w:b/>
          <w:spacing w:val="-8"/>
          <w:sz w:val="24"/>
          <w:szCs w:val="24"/>
        </w:rPr>
        <w:t>:</w:t>
      </w:r>
      <w:r w:rsidR="003E48A1" w:rsidRPr="000B67FD">
        <w:rPr>
          <w:rFonts w:cstheme="minorHAnsi"/>
          <w:b/>
          <w:spacing w:val="-8"/>
          <w:sz w:val="24"/>
          <w:szCs w:val="24"/>
        </w:rPr>
        <w:t xml:space="preserve"> </w:t>
      </w:r>
    </w:p>
    <w:p w14:paraId="635C1849" w14:textId="796A1965" w:rsidR="0018257C" w:rsidRPr="000B67FD" w:rsidRDefault="00384FCB" w:rsidP="00760250">
      <w:pPr>
        <w:widowControl w:val="0"/>
        <w:spacing w:after="6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t xml:space="preserve">4.a. </w:t>
      </w:r>
      <w:r w:rsidR="00760250" w:rsidRPr="000B67FD">
        <w:rPr>
          <w:rFonts w:cstheme="minorHAnsi"/>
          <w:b/>
          <w:spacing w:val="-8"/>
          <w:sz w:val="24"/>
          <w:szCs w:val="24"/>
          <w:u w:val="single"/>
        </w:rPr>
        <w:t>Organizational Structure and 4.</w:t>
      </w:r>
      <w:r w:rsidR="004F4E04" w:rsidRPr="000B67FD">
        <w:rPr>
          <w:rFonts w:cstheme="minorHAnsi"/>
          <w:b/>
          <w:spacing w:val="-8"/>
          <w:sz w:val="24"/>
          <w:szCs w:val="24"/>
          <w:u w:val="single"/>
        </w:rPr>
        <w:t>b</w:t>
      </w:r>
      <w:r w:rsidR="00760250" w:rsidRPr="000B67FD">
        <w:rPr>
          <w:rFonts w:cstheme="minorHAnsi"/>
          <w:b/>
          <w:spacing w:val="-8"/>
          <w:sz w:val="24"/>
          <w:szCs w:val="24"/>
          <w:u w:val="single"/>
        </w:rPr>
        <w:t>. Description of Key Staff</w:t>
      </w:r>
      <w:r w:rsidR="00760250" w:rsidRPr="000B67FD">
        <w:rPr>
          <w:rFonts w:cstheme="minorHAnsi"/>
          <w:b/>
          <w:spacing w:val="-8"/>
          <w:sz w:val="24"/>
          <w:szCs w:val="24"/>
        </w:rPr>
        <w:t xml:space="preserve">: </w:t>
      </w:r>
      <w:r w:rsidR="00717773" w:rsidRPr="00717773">
        <w:rPr>
          <w:rFonts w:cstheme="minorHAnsi"/>
          <w:sz w:val="24"/>
          <w:szCs w:val="24"/>
        </w:rPr>
        <w:t xml:space="preserve">The CTGR operates under a representative government led by an elected nine-member Tribal Council, overseeing various departments and programs like </w:t>
      </w:r>
      <w:r w:rsidR="003E7CE0">
        <w:rPr>
          <w:rFonts w:cstheme="minorHAnsi"/>
          <w:sz w:val="24"/>
          <w:szCs w:val="24"/>
        </w:rPr>
        <w:t xml:space="preserve">Engineering and Planning, </w:t>
      </w:r>
      <w:r w:rsidR="00717773" w:rsidRPr="00717773">
        <w:rPr>
          <w:rFonts w:cstheme="minorHAnsi"/>
          <w:sz w:val="24"/>
          <w:szCs w:val="24"/>
        </w:rPr>
        <w:t>Economic Development, Cultural Resources, Education, Social Services, and Health</w:t>
      </w:r>
      <w:r w:rsidR="00717773">
        <w:rPr>
          <w:rFonts w:cstheme="minorHAnsi"/>
          <w:sz w:val="24"/>
          <w:szCs w:val="24"/>
        </w:rPr>
        <w:t>.</w:t>
      </w:r>
      <w:r w:rsidR="0048671C" w:rsidRPr="000B67FD">
        <w:rPr>
          <w:rFonts w:cstheme="minorHAnsi"/>
          <w:sz w:val="24"/>
          <w:szCs w:val="24"/>
        </w:rPr>
        <w:t xml:space="preserve"> </w:t>
      </w:r>
      <w:r w:rsidR="006220F3">
        <w:rPr>
          <w:rFonts w:cstheme="minorHAnsi"/>
          <w:sz w:val="24"/>
          <w:szCs w:val="24"/>
        </w:rPr>
        <w:t>The Engineering and Planning Department</w:t>
      </w:r>
      <w:r w:rsidR="00A61D06">
        <w:rPr>
          <w:rFonts w:cstheme="minorHAnsi"/>
          <w:sz w:val="24"/>
          <w:szCs w:val="24"/>
        </w:rPr>
        <w:t xml:space="preserve">, led by Ryan Webb, will </w:t>
      </w:r>
      <w:r w:rsidR="00EA6A95">
        <w:rPr>
          <w:rFonts w:cstheme="minorHAnsi"/>
          <w:sz w:val="24"/>
          <w:szCs w:val="24"/>
        </w:rPr>
        <w:t xml:space="preserve">lead </w:t>
      </w:r>
      <w:r w:rsidR="00456526">
        <w:rPr>
          <w:rFonts w:cstheme="minorHAnsi"/>
          <w:sz w:val="24"/>
          <w:szCs w:val="24"/>
        </w:rPr>
        <w:t>cleanup grant implementation</w:t>
      </w:r>
      <w:r w:rsidR="00771304">
        <w:rPr>
          <w:rFonts w:cstheme="minorHAnsi"/>
          <w:sz w:val="24"/>
          <w:szCs w:val="24"/>
        </w:rPr>
        <w:t xml:space="preserve"> with support from multiple additional departments</w:t>
      </w:r>
      <w:r w:rsidR="001438DF">
        <w:rPr>
          <w:rFonts w:cstheme="minorHAnsi"/>
          <w:sz w:val="24"/>
          <w:szCs w:val="24"/>
        </w:rPr>
        <w:t xml:space="preserve">. </w:t>
      </w:r>
    </w:p>
    <w:p w14:paraId="5F1C9B4F" w14:textId="16999AE5" w:rsidR="0018257C" w:rsidRPr="000B67FD" w:rsidRDefault="0066672A" w:rsidP="00174B5E">
      <w:pPr>
        <w:pStyle w:val="BodyText"/>
        <w:spacing w:after="6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b/>
          <w:bCs/>
          <w:sz w:val="24"/>
          <w:szCs w:val="24"/>
          <w:u w:val="single"/>
        </w:rPr>
        <w:t>Ryan Webb</w:t>
      </w:r>
      <w:r w:rsidRPr="000B67FD">
        <w:rPr>
          <w:rFonts w:cstheme="minorHAnsi"/>
          <w:b/>
          <w:bCs/>
          <w:spacing w:val="-2"/>
          <w:sz w:val="24"/>
          <w:szCs w:val="24"/>
          <w:u w:val="single"/>
        </w:rPr>
        <w:t xml:space="preserve">, </w:t>
      </w:r>
      <w:r w:rsidRPr="000B67FD">
        <w:rPr>
          <w:rFonts w:cstheme="minorHAnsi"/>
          <w:b/>
          <w:bCs/>
          <w:sz w:val="24"/>
          <w:szCs w:val="24"/>
          <w:u w:val="single"/>
        </w:rPr>
        <w:t>PE</w:t>
      </w:r>
      <w:r w:rsidRPr="000B67FD">
        <w:rPr>
          <w:rFonts w:cstheme="minorHAnsi"/>
          <w:spacing w:val="-3"/>
          <w:sz w:val="24"/>
          <w:szCs w:val="24"/>
        </w:rPr>
        <w:t xml:space="preserve"> </w:t>
      </w:r>
      <w:r w:rsidR="00A65AE6" w:rsidRPr="000B67FD">
        <w:rPr>
          <w:rFonts w:cstheme="minorHAnsi"/>
          <w:spacing w:val="-3"/>
          <w:sz w:val="24"/>
          <w:szCs w:val="24"/>
        </w:rPr>
        <w:t>Engineering and Planning</w:t>
      </w:r>
      <w:r w:rsidR="00174B5E" w:rsidRPr="000B67FD">
        <w:rPr>
          <w:rFonts w:cstheme="minorHAnsi"/>
          <w:spacing w:val="-3"/>
          <w:sz w:val="24"/>
          <w:szCs w:val="24"/>
        </w:rPr>
        <w:t xml:space="preserve"> Manager with the </w:t>
      </w:r>
      <w:r w:rsidR="00A65AE6" w:rsidRPr="000B67FD">
        <w:rPr>
          <w:rFonts w:cstheme="minorHAnsi"/>
          <w:spacing w:val="-3"/>
          <w:sz w:val="24"/>
          <w:szCs w:val="24"/>
        </w:rPr>
        <w:t>CTGR</w:t>
      </w:r>
      <w:r w:rsidR="00174B5E" w:rsidRPr="000B67FD">
        <w:rPr>
          <w:rFonts w:cstheme="minorHAnsi"/>
          <w:spacing w:val="-3"/>
          <w:sz w:val="24"/>
          <w:szCs w:val="24"/>
        </w:rPr>
        <w:t xml:space="preserve"> </w:t>
      </w:r>
      <w:r w:rsidRPr="000B67FD">
        <w:rPr>
          <w:rFonts w:cstheme="minorHAnsi"/>
          <w:spacing w:val="-3"/>
          <w:sz w:val="24"/>
          <w:szCs w:val="24"/>
        </w:rPr>
        <w:t xml:space="preserve">is </w:t>
      </w:r>
      <w:r w:rsidRPr="000B67FD">
        <w:rPr>
          <w:rFonts w:cstheme="minorHAnsi"/>
          <w:sz w:val="24"/>
          <w:szCs w:val="24"/>
        </w:rPr>
        <w:t>the Project Director for this grant</w:t>
      </w:r>
      <w:r w:rsidRPr="000B67FD">
        <w:rPr>
          <w:rFonts w:cstheme="minorHAnsi"/>
          <w:spacing w:val="-3"/>
          <w:sz w:val="24"/>
          <w:szCs w:val="24"/>
        </w:rPr>
        <w:t>.</w:t>
      </w:r>
      <w:r w:rsidRPr="000B67FD">
        <w:rPr>
          <w:rFonts w:cstheme="minorHAnsi"/>
          <w:sz w:val="24"/>
          <w:szCs w:val="24"/>
        </w:rPr>
        <w:t xml:space="preserve">  </w:t>
      </w:r>
      <w:r w:rsidRPr="000B67FD">
        <w:rPr>
          <w:rFonts w:cstheme="minorHAnsi"/>
          <w:spacing w:val="-3"/>
          <w:sz w:val="24"/>
          <w:szCs w:val="24"/>
        </w:rPr>
        <w:t xml:space="preserve">Mr. Webb </w:t>
      </w:r>
      <w:r w:rsidRPr="000B67FD">
        <w:rPr>
          <w:rFonts w:cstheme="minorHAnsi"/>
          <w:sz w:val="24"/>
          <w:szCs w:val="24"/>
        </w:rPr>
        <w:t xml:space="preserve">has </w:t>
      </w:r>
      <w:r w:rsidR="00A65AE6" w:rsidRPr="000B67FD">
        <w:rPr>
          <w:rFonts w:cstheme="minorHAnsi"/>
          <w:sz w:val="24"/>
          <w:szCs w:val="24"/>
        </w:rPr>
        <w:t>1</w:t>
      </w:r>
      <w:r w:rsidR="00CF34F0">
        <w:rPr>
          <w:rFonts w:cstheme="minorHAnsi"/>
          <w:sz w:val="24"/>
          <w:szCs w:val="24"/>
        </w:rPr>
        <w:t>5</w:t>
      </w:r>
      <w:r w:rsidRPr="000B67FD">
        <w:rPr>
          <w:rFonts w:cstheme="minorHAnsi"/>
          <w:sz w:val="24"/>
          <w:szCs w:val="24"/>
        </w:rPr>
        <w:t xml:space="preserve"> </w:t>
      </w:r>
      <w:r w:rsidRPr="000B67FD">
        <w:rPr>
          <w:rFonts w:cstheme="minorHAnsi"/>
          <w:spacing w:val="-3"/>
          <w:sz w:val="24"/>
          <w:szCs w:val="24"/>
        </w:rPr>
        <w:t xml:space="preserve">years </w:t>
      </w:r>
      <w:r w:rsidRPr="000B67FD">
        <w:rPr>
          <w:rFonts w:cstheme="minorHAnsi"/>
          <w:spacing w:val="4"/>
          <w:sz w:val="24"/>
          <w:szCs w:val="24"/>
        </w:rPr>
        <w:t xml:space="preserve">of </w:t>
      </w:r>
      <w:r w:rsidRPr="000B67FD">
        <w:rPr>
          <w:rFonts w:cstheme="minorHAnsi"/>
          <w:sz w:val="24"/>
          <w:szCs w:val="24"/>
        </w:rPr>
        <w:t xml:space="preserve">experience managing projects within the Portland Metro area, including </w:t>
      </w:r>
      <w:r w:rsidR="00796AE6">
        <w:rPr>
          <w:rFonts w:cstheme="minorHAnsi"/>
          <w:sz w:val="24"/>
          <w:szCs w:val="24"/>
        </w:rPr>
        <w:t xml:space="preserve">the CTGR’s FY2021 EPA </w:t>
      </w:r>
      <w:r w:rsidR="00B32B77">
        <w:rPr>
          <w:rFonts w:cstheme="minorHAnsi"/>
          <w:sz w:val="24"/>
          <w:szCs w:val="24"/>
        </w:rPr>
        <w:t>m</w:t>
      </w:r>
      <w:r w:rsidR="00796AE6">
        <w:rPr>
          <w:rFonts w:cstheme="minorHAnsi"/>
          <w:sz w:val="24"/>
          <w:szCs w:val="24"/>
        </w:rPr>
        <w:t xml:space="preserve">ulti-purpose </w:t>
      </w:r>
      <w:r w:rsidR="00B0527C">
        <w:rPr>
          <w:rFonts w:cstheme="minorHAnsi"/>
          <w:sz w:val="24"/>
          <w:szCs w:val="24"/>
        </w:rPr>
        <w:t xml:space="preserve">brownfield grant </w:t>
      </w:r>
      <w:r w:rsidR="00A65AE6" w:rsidRPr="000B67FD">
        <w:rPr>
          <w:rFonts w:cstheme="minorHAnsi"/>
          <w:sz w:val="24"/>
          <w:szCs w:val="24"/>
        </w:rPr>
        <w:t>project</w:t>
      </w:r>
      <w:r w:rsidRPr="000B67FD">
        <w:rPr>
          <w:rFonts w:cstheme="minorHAnsi"/>
          <w:sz w:val="24"/>
          <w:szCs w:val="24"/>
        </w:rPr>
        <w:t xml:space="preserve">. </w:t>
      </w:r>
      <w:r w:rsidR="00FC6EC4">
        <w:rPr>
          <w:rFonts w:cstheme="minorHAnsi"/>
          <w:sz w:val="24"/>
          <w:szCs w:val="24"/>
        </w:rPr>
        <w:t xml:space="preserve">Mr. Webb also will receive significant support from </w:t>
      </w:r>
      <w:r w:rsidR="00FC6EC4" w:rsidRPr="00DD7A19">
        <w:rPr>
          <w:rFonts w:cstheme="minorHAnsi"/>
          <w:b/>
          <w:bCs/>
          <w:sz w:val="24"/>
          <w:szCs w:val="24"/>
          <w:u w:val="single"/>
        </w:rPr>
        <w:t>Kr</w:t>
      </w:r>
      <w:r w:rsidR="00981661" w:rsidRPr="00DD7A19">
        <w:rPr>
          <w:rFonts w:cstheme="minorHAnsi"/>
          <w:b/>
          <w:bCs/>
          <w:sz w:val="24"/>
          <w:szCs w:val="24"/>
          <w:u w:val="single"/>
        </w:rPr>
        <w:t xml:space="preserve">isten </w:t>
      </w:r>
      <w:r w:rsidR="00E41B97" w:rsidRPr="00DD7A19">
        <w:rPr>
          <w:rFonts w:cstheme="minorHAnsi"/>
          <w:b/>
          <w:bCs/>
          <w:sz w:val="24"/>
          <w:szCs w:val="24"/>
          <w:u w:val="single"/>
        </w:rPr>
        <w:t>Svi</w:t>
      </w:r>
      <w:r w:rsidR="00864FAD" w:rsidRPr="00DD7A19">
        <w:rPr>
          <w:rFonts w:cstheme="minorHAnsi"/>
          <w:b/>
          <w:bCs/>
          <w:sz w:val="24"/>
          <w:szCs w:val="24"/>
          <w:u w:val="single"/>
        </w:rPr>
        <w:t xml:space="preserve">carovich, </w:t>
      </w:r>
      <w:proofErr w:type="gramStart"/>
      <w:r w:rsidR="00864FAD" w:rsidRPr="00DD7A19">
        <w:rPr>
          <w:rFonts w:cstheme="minorHAnsi"/>
          <w:b/>
          <w:bCs/>
          <w:sz w:val="24"/>
          <w:szCs w:val="24"/>
          <w:u w:val="single"/>
        </w:rPr>
        <w:t>PE</w:t>
      </w:r>
      <w:proofErr w:type="gramEnd"/>
      <w:r w:rsidR="00451E9D">
        <w:rPr>
          <w:rFonts w:cstheme="minorHAnsi"/>
          <w:sz w:val="24"/>
          <w:szCs w:val="24"/>
        </w:rPr>
        <w:t xml:space="preserve"> in all aspects of project </w:t>
      </w:r>
      <w:proofErr w:type="gramStart"/>
      <w:r w:rsidR="00451E9D">
        <w:rPr>
          <w:rFonts w:cstheme="minorHAnsi"/>
          <w:sz w:val="24"/>
          <w:szCs w:val="24"/>
        </w:rPr>
        <w:t>implementation</w:t>
      </w:r>
      <w:proofErr w:type="gramEnd"/>
      <w:r w:rsidR="00776419">
        <w:rPr>
          <w:rFonts w:cstheme="minorHAnsi"/>
          <w:sz w:val="24"/>
          <w:szCs w:val="24"/>
        </w:rPr>
        <w:t xml:space="preserve"> the same role </w:t>
      </w:r>
      <w:r w:rsidR="00F47C01">
        <w:rPr>
          <w:rFonts w:cstheme="minorHAnsi"/>
          <w:sz w:val="24"/>
          <w:szCs w:val="24"/>
        </w:rPr>
        <w:t>Ms. Svicarovi</w:t>
      </w:r>
      <w:r w:rsidR="00230E84">
        <w:rPr>
          <w:rFonts w:cstheme="minorHAnsi"/>
          <w:sz w:val="24"/>
          <w:szCs w:val="24"/>
        </w:rPr>
        <w:t>ch</w:t>
      </w:r>
      <w:r w:rsidR="00776419">
        <w:rPr>
          <w:rFonts w:cstheme="minorHAnsi"/>
          <w:sz w:val="24"/>
          <w:szCs w:val="24"/>
        </w:rPr>
        <w:t xml:space="preserve"> fulfilled during </w:t>
      </w:r>
      <w:r w:rsidR="008E4F01">
        <w:rPr>
          <w:rFonts w:cstheme="minorHAnsi"/>
          <w:sz w:val="24"/>
          <w:szCs w:val="24"/>
        </w:rPr>
        <w:t xml:space="preserve">implementation of CTGR’s </w:t>
      </w:r>
      <w:r w:rsidR="003B3E96">
        <w:rPr>
          <w:rFonts w:cstheme="minorHAnsi"/>
          <w:sz w:val="24"/>
          <w:szCs w:val="24"/>
        </w:rPr>
        <w:t>FY2021 grant.</w:t>
      </w:r>
      <w:r w:rsidR="00230E84">
        <w:rPr>
          <w:rFonts w:cstheme="minorHAnsi"/>
          <w:sz w:val="24"/>
          <w:szCs w:val="24"/>
        </w:rPr>
        <w:t xml:space="preserve"> </w:t>
      </w:r>
      <w:r w:rsidR="006D20F4" w:rsidRPr="000B67FD">
        <w:rPr>
          <w:rFonts w:cstheme="minorHAnsi"/>
          <w:b/>
          <w:bCs/>
          <w:sz w:val="24"/>
          <w:szCs w:val="24"/>
          <w:u w:val="single"/>
        </w:rPr>
        <w:t xml:space="preserve">Stacia </w:t>
      </w:r>
      <w:r w:rsidR="00CC214D">
        <w:rPr>
          <w:rFonts w:cstheme="minorHAnsi"/>
          <w:b/>
          <w:bCs/>
          <w:sz w:val="24"/>
          <w:szCs w:val="24"/>
          <w:u w:val="single"/>
        </w:rPr>
        <w:t>Her</w:t>
      </w:r>
      <w:r w:rsidR="00C60C20">
        <w:rPr>
          <w:rFonts w:cstheme="minorHAnsi"/>
          <w:b/>
          <w:bCs/>
          <w:sz w:val="24"/>
          <w:szCs w:val="24"/>
          <w:u w:val="single"/>
        </w:rPr>
        <w:t>nandez</w:t>
      </w:r>
      <w:r w:rsidR="006D20F4" w:rsidRPr="000B67FD">
        <w:rPr>
          <w:rFonts w:cstheme="minorHAnsi"/>
          <w:sz w:val="24"/>
          <w:szCs w:val="24"/>
        </w:rPr>
        <w:t xml:space="preserve">, Chief of Staff for </w:t>
      </w:r>
      <w:r w:rsidR="00A65AE6" w:rsidRPr="000B67FD">
        <w:rPr>
          <w:rFonts w:cstheme="minorHAnsi"/>
          <w:sz w:val="24"/>
          <w:szCs w:val="24"/>
        </w:rPr>
        <w:t>CTGR</w:t>
      </w:r>
      <w:r w:rsidR="006D20F4" w:rsidRPr="000B67FD">
        <w:rPr>
          <w:rFonts w:cstheme="minorHAnsi"/>
          <w:sz w:val="24"/>
          <w:szCs w:val="24"/>
        </w:rPr>
        <w:t xml:space="preserve">, </w:t>
      </w:r>
      <w:r w:rsidRPr="000B67FD">
        <w:rPr>
          <w:rFonts w:cstheme="minorHAnsi"/>
          <w:sz w:val="24"/>
          <w:szCs w:val="24"/>
        </w:rPr>
        <w:t xml:space="preserve">will coordinate all public and community outreach efforts and </w:t>
      </w:r>
      <w:r w:rsidRPr="000B67FD">
        <w:rPr>
          <w:rFonts w:cstheme="minorHAnsi"/>
          <w:spacing w:val="-3"/>
          <w:sz w:val="24"/>
          <w:szCs w:val="24"/>
        </w:rPr>
        <w:t xml:space="preserve">lead </w:t>
      </w:r>
      <w:r w:rsidRPr="000B67FD">
        <w:rPr>
          <w:rFonts w:cstheme="minorHAnsi"/>
          <w:sz w:val="24"/>
          <w:szCs w:val="24"/>
        </w:rPr>
        <w:t xml:space="preserve">collaboration efforts with project partners. Ms. </w:t>
      </w:r>
      <w:r w:rsidR="002D698E">
        <w:rPr>
          <w:rFonts w:cstheme="minorHAnsi"/>
          <w:sz w:val="24"/>
          <w:szCs w:val="24"/>
        </w:rPr>
        <w:t>M</w:t>
      </w:r>
      <w:r w:rsidR="001712DC">
        <w:rPr>
          <w:rFonts w:cstheme="minorHAnsi"/>
          <w:sz w:val="24"/>
          <w:szCs w:val="24"/>
        </w:rPr>
        <w:t>artin</w:t>
      </w:r>
      <w:r w:rsidRPr="000B67FD">
        <w:rPr>
          <w:rFonts w:cstheme="minorHAnsi"/>
          <w:sz w:val="24"/>
          <w:szCs w:val="24"/>
        </w:rPr>
        <w:t xml:space="preserve"> </w:t>
      </w:r>
      <w:r w:rsidRPr="000B67FD">
        <w:rPr>
          <w:rFonts w:cstheme="minorHAnsi"/>
          <w:spacing w:val="-5"/>
          <w:sz w:val="24"/>
          <w:szCs w:val="24"/>
        </w:rPr>
        <w:t xml:space="preserve">is </w:t>
      </w:r>
      <w:r w:rsidRPr="000B67FD">
        <w:rPr>
          <w:rFonts w:cstheme="minorHAnsi"/>
          <w:sz w:val="24"/>
          <w:szCs w:val="24"/>
        </w:rPr>
        <w:t xml:space="preserve">a </w:t>
      </w:r>
      <w:r w:rsidR="00A65AE6" w:rsidRPr="000B67FD">
        <w:rPr>
          <w:rFonts w:cstheme="minorHAnsi"/>
          <w:sz w:val="24"/>
          <w:szCs w:val="24"/>
        </w:rPr>
        <w:t>CTGR</w:t>
      </w:r>
      <w:r w:rsidRPr="000B67FD">
        <w:rPr>
          <w:rFonts w:cstheme="minorHAnsi"/>
          <w:sz w:val="24"/>
          <w:szCs w:val="24"/>
        </w:rPr>
        <w:t xml:space="preserve"> member and has been employed by </w:t>
      </w:r>
      <w:r w:rsidR="00A65AE6" w:rsidRPr="000B67FD">
        <w:rPr>
          <w:rFonts w:cstheme="minorHAnsi"/>
          <w:sz w:val="24"/>
          <w:szCs w:val="24"/>
        </w:rPr>
        <w:t>CTGR</w:t>
      </w:r>
      <w:r w:rsidRPr="000B67FD">
        <w:rPr>
          <w:rFonts w:cstheme="minorHAnsi"/>
          <w:sz w:val="24"/>
          <w:szCs w:val="24"/>
        </w:rPr>
        <w:t xml:space="preserve"> for over 1</w:t>
      </w:r>
      <w:r w:rsidR="00CF34F0">
        <w:rPr>
          <w:rFonts w:cstheme="minorHAnsi"/>
          <w:sz w:val="24"/>
          <w:szCs w:val="24"/>
        </w:rPr>
        <w:t>6</w:t>
      </w:r>
      <w:r w:rsidRPr="000B67FD">
        <w:rPr>
          <w:rFonts w:cstheme="minorHAnsi"/>
          <w:sz w:val="24"/>
          <w:szCs w:val="24"/>
        </w:rPr>
        <w:t xml:space="preserve"> years</w:t>
      </w:r>
      <w:r w:rsidR="006D20F4" w:rsidRPr="000B67FD">
        <w:rPr>
          <w:rFonts w:cstheme="minorHAnsi"/>
          <w:sz w:val="24"/>
          <w:szCs w:val="24"/>
        </w:rPr>
        <w:t xml:space="preserve">. </w:t>
      </w:r>
      <w:r w:rsidR="0008591E">
        <w:rPr>
          <w:rFonts w:cstheme="minorHAnsi"/>
          <w:b/>
          <w:bCs/>
          <w:sz w:val="24"/>
          <w:szCs w:val="24"/>
          <w:u w:val="single"/>
        </w:rPr>
        <w:t>Wendy</w:t>
      </w:r>
      <w:r w:rsidR="00CF34F0">
        <w:rPr>
          <w:rFonts w:cstheme="minorHAnsi"/>
          <w:b/>
          <w:bCs/>
          <w:sz w:val="24"/>
          <w:szCs w:val="24"/>
          <w:u w:val="single"/>
        </w:rPr>
        <w:t xml:space="preserve"> Sparks</w:t>
      </w:r>
      <w:r w:rsidR="0048671C" w:rsidRPr="000B67FD">
        <w:rPr>
          <w:rFonts w:cstheme="minorHAnsi"/>
          <w:sz w:val="24"/>
          <w:szCs w:val="24"/>
        </w:rPr>
        <w:t xml:space="preserve">, </w:t>
      </w:r>
      <w:r w:rsidR="0048671C" w:rsidRPr="000B67FD">
        <w:rPr>
          <w:rFonts w:cstheme="minorHAnsi"/>
          <w:spacing w:val="-3"/>
          <w:sz w:val="24"/>
          <w:szCs w:val="24"/>
        </w:rPr>
        <w:t xml:space="preserve">Grants </w:t>
      </w:r>
      <w:r w:rsidR="001B129D">
        <w:rPr>
          <w:rFonts w:cstheme="minorHAnsi"/>
          <w:spacing w:val="-3"/>
          <w:sz w:val="24"/>
          <w:szCs w:val="24"/>
        </w:rPr>
        <w:t xml:space="preserve">Program </w:t>
      </w:r>
      <w:r w:rsidR="0048671C" w:rsidRPr="000B67FD">
        <w:rPr>
          <w:rFonts w:cstheme="minorHAnsi"/>
          <w:spacing w:val="-3"/>
          <w:sz w:val="24"/>
          <w:szCs w:val="24"/>
        </w:rPr>
        <w:t xml:space="preserve">Manager for </w:t>
      </w:r>
      <w:r w:rsidR="00A65AE6" w:rsidRPr="000B67FD">
        <w:rPr>
          <w:rFonts w:cstheme="minorHAnsi"/>
          <w:spacing w:val="-3"/>
          <w:sz w:val="24"/>
          <w:szCs w:val="24"/>
        </w:rPr>
        <w:t>CTGR</w:t>
      </w:r>
      <w:r w:rsidR="00CA3C9F">
        <w:rPr>
          <w:rFonts w:cstheme="minorHAnsi"/>
          <w:spacing w:val="-3"/>
          <w:sz w:val="24"/>
          <w:szCs w:val="24"/>
        </w:rPr>
        <w:t>,</w:t>
      </w:r>
      <w:r w:rsidR="0048671C" w:rsidRPr="000B67FD">
        <w:rPr>
          <w:rFonts w:cstheme="minorHAnsi"/>
          <w:spacing w:val="-3"/>
          <w:sz w:val="24"/>
          <w:szCs w:val="24"/>
        </w:rPr>
        <w:t xml:space="preserve"> will assist with</w:t>
      </w:r>
      <w:r w:rsidR="0048671C" w:rsidRPr="000B67FD">
        <w:rPr>
          <w:rFonts w:cstheme="minorHAnsi"/>
          <w:sz w:val="24"/>
          <w:szCs w:val="24"/>
        </w:rPr>
        <w:t xml:space="preserve"> grant management, compliance, and reporting. </w:t>
      </w:r>
      <w:r w:rsidR="0048671C" w:rsidRPr="004574F9">
        <w:rPr>
          <w:rFonts w:cstheme="minorHAnsi"/>
          <w:sz w:val="24"/>
          <w:szCs w:val="24"/>
        </w:rPr>
        <w:t>M</w:t>
      </w:r>
      <w:r w:rsidR="00CF34F0" w:rsidRPr="004574F9">
        <w:rPr>
          <w:rFonts w:cstheme="minorHAnsi"/>
          <w:sz w:val="24"/>
          <w:szCs w:val="24"/>
        </w:rPr>
        <w:t>s</w:t>
      </w:r>
      <w:r w:rsidR="0048671C" w:rsidRPr="004574F9">
        <w:rPr>
          <w:rFonts w:cstheme="minorHAnsi"/>
          <w:sz w:val="24"/>
          <w:szCs w:val="24"/>
        </w:rPr>
        <w:t xml:space="preserve">. </w:t>
      </w:r>
      <w:r w:rsidR="00CF34F0" w:rsidRPr="004574F9">
        <w:rPr>
          <w:rFonts w:cstheme="minorHAnsi"/>
          <w:sz w:val="24"/>
          <w:szCs w:val="24"/>
        </w:rPr>
        <w:t>Sparks</w:t>
      </w:r>
      <w:r w:rsidR="0048671C" w:rsidRPr="004574F9">
        <w:rPr>
          <w:rFonts w:cstheme="minorHAnsi"/>
          <w:sz w:val="24"/>
          <w:szCs w:val="24"/>
        </w:rPr>
        <w:t xml:space="preserve"> ha</w:t>
      </w:r>
      <w:r w:rsidR="0048671C" w:rsidRPr="00AA0002">
        <w:rPr>
          <w:rFonts w:cstheme="minorHAnsi"/>
          <w:sz w:val="24"/>
          <w:szCs w:val="24"/>
        </w:rPr>
        <w:t xml:space="preserve">s 20 years’ experience with federal grant projects. </w:t>
      </w:r>
      <w:r w:rsidR="00A625B7" w:rsidRPr="00AA0002">
        <w:rPr>
          <w:rFonts w:cstheme="minorHAnsi"/>
          <w:b/>
          <w:bCs/>
          <w:sz w:val="24"/>
          <w:szCs w:val="24"/>
          <w:u w:val="single"/>
        </w:rPr>
        <w:t>De</w:t>
      </w:r>
      <w:r w:rsidR="0097507F" w:rsidRPr="00AA0002">
        <w:rPr>
          <w:rFonts w:cstheme="minorHAnsi"/>
          <w:b/>
          <w:bCs/>
          <w:sz w:val="24"/>
          <w:szCs w:val="24"/>
          <w:u w:val="single"/>
        </w:rPr>
        <w:t>Anne Norton</w:t>
      </w:r>
      <w:r w:rsidR="0018257C" w:rsidRPr="00AA0002">
        <w:rPr>
          <w:rFonts w:cstheme="minorHAnsi"/>
          <w:sz w:val="24"/>
          <w:szCs w:val="24"/>
        </w:rPr>
        <w:t>, Staff Accountant</w:t>
      </w:r>
      <w:r w:rsidR="00760250" w:rsidRPr="00AA0002">
        <w:rPr>
          <w:rFonts w:cstheme="minorHAnsi"/>
          <w:sz w:val="24"/>
          <w:szCs w:val="24"/>
        </w:rPr>
        <w:t xml:space="preserve">, </w:t>
      </w:r>
      <w:r w:rsidR="0018257C" w:rsidRPr="00AA0002">
        <w:rPr>
          <w:rFonts w:cstheme="minorHAnsi"/>
          <w:sz w:val="24"/>
          <w:szCs w:val="24"/>
        </w:rPr>
        <w:t>will</w:t>
      </w:r>
      <w:r w:rsidR="00430CE6" w:rsidRPr="00AA0002">
        <w:rPr>
          <w:rFonts w:cstheme="minorHAnsi"/>
          <w:sz w:val="24"/>
          <w:szCs w:val="24"/>
        </w:rPr>
        <w:t xml:space="preserve"> assist with </w:t>
      </w:r>
      <w:r w:rsidR="00C971B9" w:rsidRPr="00AA0002">
        <w:rPr>
          <w:rFonts w:cstheme="minorHAnsi"/>
          <w:sz w:val="24"/>
          <w:szCs w:val="24"/>
        </w:rPr>
        <w:t xml:space="preserve">budget tracking, documentation, reporting, and drawdowns. </w:t>
      </w:r>
      <w:r w:rsidR="00A65AE6" w:rsidRPr="00AA0002">
        <w:rPr>
          <w:rFonts w:cstheme="minorHAnsi"/>
          <w:sz w:val="24"/>
          <w:szCs w:val="24"/>
        </w:rPr>
        <w:t>CTGR</w:t>
      </w:r>
      <w:r w:rsidR="0018257C" w:rsidRPr="00AA0002">
        <w:rPr>
          <w:rFonts w:cstheme="minorHAnsi"/>
          <w:sz w:val="24"/>
          <w:szCs w:val="24"/>
        </w:rPr>
        <w:t xml:space="preserve"> staff will coordinate with staff in the lands, natural resources, </w:t>
      </w:r>
      <w:r w:rsidR="00760250" w:rsidRPr="00AA0002">
        <w:rPr>
          <w:rFonts w:cstheme="minorHAnsi"/>
          <w:sz w:val="24"/>
          <w:szCs w:val="24"/>
        </w:rPr>
        <w:t>Tribal Historic Preservation Office</w:t>
      </w:r>
      <w:r w:rsidR="0018257C" w:rsidRPr="00AA0002">
        <w:rPr>
          <w:rFonts w:cstheme="minorHAnsi"/>
          <w:sz w:val="24"/>
          <w:szCs w:val="24"/>
        </w:rPr>
        <w:t>, and other departments as needed.</w:t>
      </w:r>
    </w:p>
    <w:p w14:paraId="5E575172" w14:textId="6A8C5CBB" w:rsidR="00F97CFD" w:rsidRPr="000B67FD" w:rsidRDefault="00384FCB" w:rsidP="004A04D1">
      <w:pPr>
        <w:widowControl w:val="0"/>
        <w:spacing w:after="0" w:line="240" w:lineRule="exact"/>
        <w:rPr>
          <w:rFonts w:cstheme="minorHAnsi"/>
          <w:sz w:val="24"/>
          <w:szCs w:val="24"/>
        </w:rPr>
      </w:pPr>
      <w:r w:rsidRPr="000B67FD">
        <w:rPr>
          <w:rFonts w:cstheme="minorHAnsi"/>
          <w:b/>
          <w:spacing w:val="-8"/>
          <w:sz w:val="24"/>
          <w:szCs w:val="24"/>
          <w:u w:val="single"/>
        </w:rPr>
        <w:t>4.</w:t>
      </w:r>
      <w:r w:rsidR="004F4E04" w:rsidRPr="000B67FD">
        <w:rPr>
          <w:rFonts w:cstheme="minorHAnsi"/>
          <w:b/>
          <w:spacing w:val="-8"/>
          <w:sz w:val="24"/>
          <w:szCs w:val="24"/>
          <w:u w:val="single"/>
        </w:rPr>
        <w:t>c</w:t>
      </w:r>
      <w:r w:rsidRPr="000B67FD">
        <w:rPr>
          <w:rFonts w:cstheme="minorHAnsi"/>
          <w:b/>
          <w:spacing w:val="-8"/>
          <w:sz w:val="24"/>
          <w:szCs w:val="24"/>
          <w:u w:val="single"/>
        </w:rPr>
        <w:t>.</w:t>
      </w:r>
      <w:r w:rsidR="00994997" w:rsidRPr="000B67FD">
        <w:rPr>
          <w:rFonts w:cstheme="minorHAnsi"/>
          <w:b/>
          <w:spacing w:val="-8"/>
          <w:sz w:val="24"/>
          <w:szCs w:val="24"/>
          <w:u w:val="single"/>
        </w:rPr>
        <w:t xml:space="preserve"> Acquiring Additional Resources</w:t>
      </w:r>
      <w:r w:rsidR="00CB791B" w:rsidRPr="000B67FD">
        <w:rPr>
          <w:rFonts w:cstheme="minorHAnsi"/>
          <w:b/>
          <w:spacing w:val="-8"/>
          <w:sz w:val="24"/>
          <w:szCs w:val="24"/>
        </w:rPr>
        <w:t>:</w:t>
      </w:r>
      <w:r w:rsidR="00266222" w:rsidRPr="000B67FD">
        <w:rPr>
          <w:rFonts w:cstheme="minorHAnsi"/>
          <w:b/>
          <w:spacing w:val="-8"/>
          <w:sz w:val="24"/>
          <w:szCs w:val="24"/>
        </w:rPr>
        <w:t xml:space="preserve"> </w:t>
      </w:r>
      <w:r w:rsidR="00A65AE6" w:rsidRPr="000B67FD">
        <w:rPr>
          <w:rFonts w:cstheme="minorHAnsi"/>
          <w:sz w:val="24"/>
          <w:szCs w:val="24"/>
        </w:rPr>
        <w:t>CTGR</w:t>
      </w:r>
      <w:r w:rsidR="00760250" w:rsidRPr="000B67FD">
        <w:rPr>
          <w:rFonts w:cstheme="minorHAnsi"/>
          <w:sz w:val="24"/>
          <w:szCs w:val="24"/>
        </w:rPr>
        <w:t xml:space="preserve"> has a procurement ordinance and policy governing purchases of goods and services </w:t>
      </w:r>
      <w:r w:rsidR="00696F06" w:rsidRPr="000B67FD">
        <w:rPr>
          <w:rFonts w:cstheme="minorHAnsi"/>
          <w:sz w:val="24"/>
          <w:szCs w:val="24"/>
        </w:rPr>
        <w:t>that</w:t>
      </w:r>
      <w:r w:rsidR="00760250" w:rsidRPr="000B67FD">
        <w:rPr>
          <w:rFonts w:cstheme="minorHAnsi"/>
          <w:sz w:val="24"/>
          <w:szCs w:val="24"/>
        </w:rPr>
        <w:t xml:space="preserve"> set</w:t>
      </w:r>
      <w:r w:rsidR="00696F06" w:rsidRPr="000B67FD">
        <w:rPr>
          <w:rFonts w:cstheme="minorHAnsi"/>
          <w:sz w:val="24"/>
          <w:szCs w:val="24"/>
        </w:rPr>
        <w:t>s</w:t>
      </w:r>
      <w:r w:rsidR="00760250" w:rsidRPr="000B67FD">
        <w:rPr>
          <w:rFonts w:cstheme="minorHAnsi"/>
          <w:sz w:val="24"/>
          <w:szCs w:val="24"/>
        </w:rPr>
        <w:t xml:space="preserve"> forth </w:t>
      </w:r>
      <w:proofErr w:type="gramStart"/>
      <w:r w:rsidR="00760250" w:rsidRPr="000B67FD">
        <w:rPr>
          <w:rFonts w:cstheme="minorHAnsi"/>
          <w:sz w:val="24"/>
          <w:szCs w:val="24"/>
        </w:rPr>
        <w:t>the competitive</w:t>
      </w:r>
      <w:proofErr w:type="gramEnd"/>
      <w:r w:rsidR="00760250" w:rsidRPr="000B67FD">
        <w:rPr>
          <w:rFonts w:cstheme="minorHAnsi"/>
          <w:sz w:val="24"/>
          <w:szCs w:val="24"/>
        </w:rPr>
        <w:t xml:space="preserve"> selection processes. The procurement policy requires compliance with any federal funding source requirements with respect to purchasing and program compliance. </w:t>
      </w:r>
      <w:r w:rsidR="00A65AE6" w:rsidRPr="000B67FD">
        <w:rPr>
          <w:rFonts w:cstheme="minorHAnsi"/>
          <w:sz w:val="24"/>
          <w:szCs w:val="24"/>
        </w:rPr>
        <w:t>CTGR</w:t>
      </w:r>
      <w:r w:rsidR="00760250" w:rsidRPr="000B67FD">
        <w:rPr>
          <w:rFonts w:cstheme="minorHAnsi"/>
          <w:sz w:val="24"/>
          <w:szCs w:val="24"/>
        </w:rPr>
        <w:t xml:space="preserve"> will comply with EPA’s solicitation clauses in the performance of this grant. The </w:t>
      </w:r>
      <w:r w:rsidR="00A65AE6" w:rsidRPr="000B67FD">
        <w:rPr>
          <w:rFonts w:cstheme="minorHAnsi"/>
          <w:sz w:val="24"/>
          <w:szCs w:val="24"/>
        </w:rPr>
        <w:t>CTGR</w:t>
      </w:r>
      <w:r w:rsidR="00760250" w:rsidRPr="000B67FD">
        <w:rPr>
          <w:rFonts w:cstheme="minorHAnsi"/>
          <w:sz w:val="24"/>
          <w:szCs w:val="24"/>
        </w:rPr>
        <w:t xml:space="preserve">’s legal department reviews contracts and agreements and its procurement department </w:t>
      </w:r>
      <w:proofErr w:type="gramStart"/>
      <w:r w:rsidR="00760250" w:rsidRPr="000B67FD">
        <w:rPr>
          <w:rFonts w:cstheme="minorHAnsi"/>
          <w:sz w:val="24"/>
          <w:szCs w:val="24"/>
        </w:rPr>
        <w:t>facilitates</w:t>
      </w:r>
      <w:proofErr w:type="gramEnd"/>
      <w:r w:rsidR="00760250" w:rsidRPr="000B67FD">
        <w:rPr>
          <w:rFonts w:cstheme="minorHAnsi"/>
          <w:sz w:val="24"/>
          <w:szCs w:val="24"/>
        </w:rPr>
        <w:t xml:space="preserve"> purchase orders and payments.</w:t>
      </w:r>
      <w:r w:rsidR="006D20F4" w:rsidRPr="000B67FD">
        <w:rPr>
          <w:rFonts w:cstheme="minorHAnsi"/>
          <w:sz w:val="24"/>
          <w:szCs w:val="24"/>
        </w:rPr>
        <w:t xml:space="preserve"> </w:t>
      </w:r>
      <w:r w:rsidR="00A65AE6" w:rsidRPr="000B67FD">
        <w:rPr>
          <w:rFonts w:cstheme="minorHAnsi"/>
          <w:sz w:val="24"/>
          <w:szCs w:val="24"/>
        </w:rPr>
        <w:t>CTGR</w:t>
      </w:r>
      <w:r w:rsidR="00760250" w:rsidRPr="000B67FD">
        <w:rPr>
          <w:rFonts w:cstheme="minorHAnsi"/>
          <w:sz w:val="24"/>
          <w:szCs w:val="24"/>
        </w:rPr>
        <w:t xml:space="preserve"> will utilize the required procurement procedures in selecting consultants</w:t>
      </w:r>
      <w:r w:rsidR="00A65AE6" w:rsidRPr="000B67FD">
        <w:rPr>
          <w:rFonts w:cstheme="minorHAnsi"/>
          <w:sz w:val="24"/>
          <w:szCs w:val="24"/>
        </w:rPr>
        <w:t xml:space="preserve"> and contractors</w:t>
      </w:r>
      <w:r w:rsidR="00760250" w:rsidRPr="000B67FD">
        <w:rPr>
          <w:rFonts w:cstheme="minorHAnsi"/>
          <w:sz w:val="24"/>
          <w:szCs w:val="24"/>
        </w:rPr>
        <w:t xml:space="preserve"> to </w:t>
      </w:r>
      <w:r w:rsidR="00A65AE6" w:rsidRPr="000B67FD">
        <w:rPr>
          <w:rFonts w:cstheme="minorHAnsi"/>
          <w:sz w:val="24"/>
          <w:szCs w:val="24"/>
        </w:rPr>
        <w:t xml:space="preserve">complete </w:t>
      </w:r>
      <w:r w:rsidR="00760250" w:rsidRPr="000B67FD">
        <w:rPr>
          <w:rFonts w:cstheme="minorHAnsi"/>
          <w:sz w:val="24"/>
          <w:szCs w:val="24"/>
        </w:rPr>
        <w:t>grant</w:t>
      </w:r>
      <w:r w:rsidR="00A65AE6" w:rsidRPr="000B67FD">
        <w:rPr>
          <w:rFonts w:cstheme="minorHAnsi"/>
          <w:sz w:val="24"/>
          <w:szCs w:val="24"/>
        </w:rPr>
        <w:t xml:space="preserve"> work</w:t>
      </w:r>
      <w:r w:rsidR="00760250" w:rsidRPr="000B67FD">
        <w:rPr>
          <w:rFonts w:cstheme="minorHAnsi"/>
          <w:sz w:val="24"/>
          <w:szCs w:val="24"/>
        </w:rPr>
        <w:t>.</w:t>
      </w:r>
    </w:p>
    <w:p w14:paraId="66F1920A" w14:textId="77777777" w:rsidR="00AA0002" w:rsidRDefault="00AA0002" w:rsidP="00AE71F3">
      <w:pPr>
        <w:autoSpaceDE w:val="0"/>
        <w:autoSpaceDN w:val="0"/>
        <w:adjustRightInd w:val="0"/>
        <w:spacing w:after="0" w:line="260" w:lineRule="exact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31D688EB" w14:textId="0AF4A884" w:rsidR="008E5DC0" w:rsidRPr="000B67FD" w:rsidRDefault="008E5DC0" w:rsidP="00AE71F3">
      <w:pPr>
        <w:autoSpaceDE w:val="0"/>
        <w:autoSpaceDN w:val="0"/>
        <w:adjustRightInd w:val="0"/>
        <w:spacing w:after="0" w:line="260" w:lineRule="exact"/>
        <w:jc w:val="both"/>
        <w:rPr>
          <w:rFonts w:eastAsia="Calibri" w:cstheme="minorHAnsi"/>
          <w:b/>
          <w:sz w:val="24"/>
          <w:szCs w:val="24"/>
        </w:rPr>
      </w:pPr>
      <w:r w:rsidRPr="000B67FD">
        <w:rPr>
          <w:rFonts w:eastAsia="Calibri" w:cstheme="minorHAnsi"/>
          <w:b/>
          <w:sz w:val="24"/>
          <w:szCs w:val="24"/>
          <w:u w:val="single"/>
        </w:rPr>
        <w:t>Past Performance &amp; Accomplishments</w:t>
      </w:r>
      <w:r w:rsidRPr="000B67FD">
        <w:rPr>
          <w:rFonts w:eastAsia="Calibri" w:cstheme="minorHAnsi"/>
          <w:b/>
          <w:sz w:val="24"/>
          <w:szCs w:val="24"/>
        </w:rPr>
        <w:t xml:space="preserve">: </w:t>
      </w:r>
    </w:p>
    <w:p w14:paraId="46D6EA82" w14:textId="2EC12A24" w:rsidR="00A65AE6" w:rsidRDefault="008E5DC0" w:rsidP="00FE0323">
      <w:pPr>
        <w:autoSpaceDE w:val="0"/>
        <w:autoSpaceDN w:val="0"/>
        <w:adjustRightInd w:val="0"/>
        <w:spacing w:after="0" w:line="240" w:lineRule="exact"/>
        <w:rPr>
          <w:rFonts w:eastAsia="Calibri" w:cstheme="minorHAnsi"/>
          <w:bCs/>
          <w:sz w:val="24"/>
          <w:szCs w:val="24"/>
        </w:rPr>
      </w:pPr>
      <w:bookmarkStart w:id="2" w:name="_Hlk536512206"/>
      <w:r w:rsidRPr="000B67FD">
        <w:rPr>
          <w:rFonts w:eastAsia="Calibri" w:cstheme="minorHAnsi"/>
          <w:b/>
          <w:sz w:val="24"/>
          <w:szCs w:val="24"/>
          <w:u w:val="single"/>
        </w:rPr>
        <w:t>4.</w:t>
      </w:r>
      <w:r w:rsidR="001B168C" w:rsidRPr="000B67FD">
        <w:rPr>
          <w:rFonts w:eastAsia="Calibri" w:cstheme="minorHAnsi"/>
          <w:b/>
          <w:sz w:val="24"/>
          <w:szCs w:val="24"/>
          <w:u w:val="single"/>
        </w:rPr>
        <w:t>d</w:t>
      </w:r>
      <w:r w:rsidRPr="000B67FD">
        <w:rPr>
          <w:rFonts w:eastAsia="Calibri" w:cstheme="minorHAnsi"/>
          <w:b/>
          <w:sz w:val="24"/>
          <w:szCs w:val="24"/>
          <w:u w:val="single"/>
        </w:rPr>
        <w:t xml:space="preserve">. </w:t>
      </w:r>
      <w:r w:rsidR="00A65AE6" w:rsidRPr="000B67FD">
        <w:rPr>
          <w:rFonts w:eastAsia="Calibri" w:cstheme="minorHAnsi"/>
          <w:b/>
          <w:sz w:val="24"/>
          <w:szCs w:val="24"/>
          <w:u w:val="single"/>
        </w:rPr>
        <w:t xml:space="preserve">Currently </w:t>
      </w:r>
      <w:r w:rsidRPr="000B67FD">
        <w:rPr>
          <w:rFonts w:eastAsia="Calibri" w:cstheme="minorHAnsi"/>
          <w:b/>
          <w:sz w:val="24"/>
          <w:szCs w:val="24"/>
          <w:u w:val="single"/>
        </w:rPr>
        <w:t xml:space="preserve">Has </w:t>
      </w:r>
      <w:r w:rsidR="00A65AE6" w:rsidRPr="000B67FD">
        <w:rPr>
          <w:rFonts w:eastAsia="Calibri" w:cstheme="minorHAnsi"/>
          <w:b/>
          <w:sz w:val="24"/>
          <w:szCs w:val="24"/>
          <w:u w:val="single"/>
        </w:rPr>
        <w:t xml:space="preserve">or Previously </w:t>
      </w:r>
      <w:r w:rsidRPr="000B67FD">
        <w:rPr>
          <w:rFonts w:eastAsia="Calibri" w:cstheme="minorHAnsi"/>
          <w:b/>
          <w:sz w:val="24"/>
          <w:szCs w:val="24"/>
          <w:u w:val="single"/>
        </w:rPr>
        <w:t>Rece</w:t>
      </w:r>
      <w:r w:rsidRPr="000B67FD">
        <w:rPr>
          <w:rFonts w:eastAsia="Calibri" w:cstheme="minorHAnsi"/>
          <w:b/>
          <w:bCs/>
          <w:sz w:val="24"/>
          <w:szCs w:val="24"/>
          <w:u w:val="single"/>
        </w:rPr>
        <w:t>ived an EPA Brownfields Grant</w:t>
      </w:r>
      <w:r w:rsidRPr="000B67FD">
        <w:rPr>
          <w:rFonts w:eastAsia="Calibri" w:cstheme="minorHAnsi"/>
          <w:b/>
          <w:sz w:val="24"/>
          <w:szCs w:val="24"/>
        </w:rPr>
        <w:t>:</w:t>
      </w:r>
      <w:r w:rsidR="00997017" w:rsidRPr="000B67FD">
        <w:rPr>
          <w:rFonts w:eastAsia="Calibri" w:cstheme="minorHAnsi"/>
          <w:b/>
          <w:sz w:val="24"/>
          <w:szCs w:val="24"/>
        </w:rPr>
        <w:t xml:space="preserve"> </w:t>
      </w:r>
      <w:r w:rsidR="00065667" w:rsidRPr="000B67FD">
        <w:rPr>
          <w:rFonts w:eastAsia="Calibri" w:cstheme="minorHAnsi"/>
          <w:bCs/>
          <w:sz w:val="24"/>
          <w:szCs w:val="24"/>
        </w:rPr>
        <w:t>CTGR was awarded an $800K FY2021 Brownfields Multipurpose Grant by the EPA.</w:t>
      </w:r>
    </w:p>
    <w:p w14:paraId="41310076" w14:textId="2D1AC948" w:rsidR="00E119A2" w:rsidRDefault="008E5DC0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  <w:r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4.</w:t>
      </w:r>
      <w:r w:rsidR="001B168C"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d</w:t>
      </w:r>
      <w:r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.</w:t>
      </w:r>
      <w:r w:rsidRPr="000B67FD">
        <w:rPr>
          <w:rFonts w:eastAsia="Calibri" w:cstheme="minorHAnsi"/>
          <w:b/>
          <w:bCs/>
          <w:sz w:val="24"/>
          <w:szCs w:val="24"/>
          <w:u w:val="single"/>
        </w:rPr>
        <w:t>(1) Accomplishments</w:t>
      </w:r>
      <w:r w:rsidRPr="000B67FD">
        <w:rPr>
          <w:rFonts w:eastAsia="Calibri" w:cstheme="minorHAnsi"/>
          <w:b/>
          <w:bCs/>
          <w:sz w:val="24"/>
          <w:szCs w:val="24"/>
        </w:rPr>
        <w:t xml:space="preserve">: </w:t>
      </w:r>
      <w:r w:rsidR="007D4297" w:rsidRPr="008C172B">
        <w:rPr>
          <w:rFonts w:eastAsia="Calibri" w:cstheme="minorHAnsi"/>
          <w:sz w:val="24"/>
          <w:szCs w:val="24"/>
        </w:rPr>
        <w:t xml:space="preserve">Three primary </w:t>
      </w:r>
      <w:r w:rsidR="00C63FDE" w:rsidRPr="008C172B">
        <w:rPr>
          <w:rFonts w:eastAsia="Calibri" w:cstheme="minorHAnsi"/>
          <w:sz w:val="24"/>
          <w:szCs w:val="24"/>
        </w:rPr>
        <w:t xml:space="preserve">FY2021 multi-purpose </w:t>
      </w:r>
      <w:r w:rsidR="000A2B6F" w:rsidRPr="008C172B">
        <w:rPr>
          <w:rFonts w:eastAsia="Calibri" w:cstheme="minorHAnsi"/>
          <w:sz w:val="24"/>
          <w:szCs w:val="24"/>
        </w:rPr>
        <w:t xml:space="preserve">grant </w:t>
      </w:r>
      <w:r w:rsidR="00C4566D" w:rsidRPr="008C172B">
        <w:rPr>
          <w:rFonts w:eastAsia="Calibri" w:cstheme="minorHAnsi"/>
          <w:sz w:val="24"/>
          <w:szCs w:val="24"/>
        </w:rPr>
        <w:t>ou</w:t>
      </w:r>
      <w:r w:rsidR="00891362" w:rsidRPr="008C172B">
        <w:rPr>
          <w:rFonts w:eastAsia="Calibri" w:cstheme="minorHAnsi"/>
          <w:sz w:val="24"/>
          <w:szCs w:val="24"/>
        </w:rPr>
        <w:t>tputs achieved</w:t>
      </w:r>
      <w:r w:rsidR="008D332E" w:rsidRPr="008C172B">
        <w:rPr>
          <w:rFonts w:eastAsia="Calibri" w:cstheme="minorHAnsi"/>
          <w:sz w:val="24"/>
          <w:szCs w:val="24"/>
        </w:rPr>
        <w:t xml:space="preserve"> included: 1)</w:t>
      </w:r>
      <w:r w:rsidR="00891362" w:rsidRPr="008C172B">
        <w:rPr>
          <w:rFonts w:eastAsia="Calibri" w:cstheme="minorHAnsi"/>
          <w:sz w:val="24"/>
          <w:szCs w:val="24"/>
        </w:rPr>
        <w:t xml:space="preserve"> </w:t>
      </w:r>
      <w:r w:rsidR="00AA0002" w:rsidRPr="00AA0002">
        <w:rPr>
          <w:rFonts w:cstheme="minorHAnsi"/>
          <w:sz w:val="24"/>
          <w:szCs w:val="24"/>
          <w:highlight w:val="yellow"/>
          <w:u w:color="000000"/>
        </w:rPr>
        <w:t>To be completed</w:t>
      </w:r>
    </w:p>
    <w:p w14:paraId="2C319CEC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58A5EA75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25269C1C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04D4472F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5CE06926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267FCA79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525DA3E0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473FFA35" w14:textId="77777777" w:rsidR="00AA0002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39120476" w14:textId="77777777" w:rsidR="00AA0002" w:rsidRPr="000B67FD" w:rsidRDefault="00AA0002" w:rsidP="00E119A2">
      <w:pPr>
        <w:pStyle w:val="BodyText"/>
        <w:tabs>
          <w:tab w:val="left" w:pos="788"/>
        </w:tabs>
        <w:spacing w:after="0" w:line="240" w:lineRule="exact"/>
        <w:ind w:right="605"/>
        <w:rPr>
          <w:rFonts w:cstheme="minorHAnsi"/>
          <w:sz w:val="24"/>
          <w:szCs w:val="24"/>
          <w:u w:color="000000"/>
        </w:rPr>
      </w:pPr>
    </w:p>
    <w:p w14:paraId="070A04E4" w14:textId="3350953A" w:rsidR="00172429" w:rsidRPr="000B67FD" w:rsidRDefault="008E5DC0" w:rsidP="00172429">
      <w:pPr>
        <w:pStyle w:val="BodyText"/>
        <w:tabs>
          <w:tab w:val="left" w:pos="788"/>
        </w:tabs>
        <w:spacing w:line="240" w:lineRule="exact"/>
        <w:ind w:right="601"/>
        <w:rPr>
          <w:rFonts w:eastAsia="Calibri" w:cstheme="minorHAnsi"/>
          <w:b/>
          <w:bCs/>
          <w:i/>
          <w:sz w:val="24"/>
          <w:szCs w:val="24"/>
        </w:rPr>
      </w:pPr>
      <w:r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4.</w:t>
      </w:r>
      <w:r w:rsidR="001B168C"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d</w:t>
      </w:r>
      <w:r w:rsidRPr="000B67FD">
        <w:rPr>
          <w:rFonts w:eastAsia="Calibri" w:cstheme="minorHAnsi"/>
          <w:b/>
          <w:color w:val="000000"/>
          <w:sz w:val="24"/>
          <w:szCs w:val="24"/>
          <w:u w:val="single"/>
        </w:rPr>
        <w:t>.</w:t>
      </w:r>
      <w:r w:rsidRPr="000B67FD">
        <w:rPr>
          <w:rFonts w:eastAsia="Calibri" w:cstheme="minorHAnsi"/>
          <w:b/>
          <w:bCs/>
          <w:color w:val="000000"/>
          <w:sz w:val="24"/>
          <w:szCs w:val="24"/>
          <w:u w:val="single"/>
        </w:rPr>
        <w:t>(2) Compliance with Grant Requirements</w:t>
      </w:r>
      <w:r w:rsidRPr="000B67FD">
        <w:rPr>
          <w:rFonts w:eastAsia="Calibri" w:cstheme="minorHAnsi"/>
          <w:b/>
          <w:bCs/>
          <w:color w:val="000000"/>
          <w:sz w:val="24"/>
          <w:szCs w:val="24"/>
        </w:rPr>
        <w:t xml:space="preserve">: </w:t>
      </w:r>
      <w:bookmarkEnd w:id="2"/>
      <w:r w:rsidR="00065667" w:rsidRPr="000B67FD">
        <w:rPr>
          <w:rFonts w:cstheme="minorHAnsi"/>
          <w:bCs/>
          <w:sz w:val="24"/>
          <w:szCs w:val="24"/>
        </w:rPr>
        <w:t xml:space="preserve">CTGR has successfully </w:t>
      </w:r>
      <w:proofErr w:type="gramStart"/>
      <w:r w:rsidR="00065667" w:rsidRPr="000B67FD">
        <w:rPr>
          <w:rFonts w:cstheme="minorHAnsi"/>
          <w:bCs/>
          <w:sz w:val="24"/>
          <w:szCs w:val="24"/>
        </w:rPr>
        <w:t>complied</w:t>
      </w:r>
      <w:proofErr w:type="gramEnd"/>
      <w:r w:rsidR="00065667" w:rsidRPr="000B67FD">
        <w:rPr>
          <w:rFonts w:cstheme="minorHAnsi"/>
          <w:bCs/>
          <w:sz w:val="24"/>
          <w:szCs w:val="24"/>
        </w:rPr>
        <w:t xml:space="preserve"> with all aspects of its Cooperative Agreement terms and conditions and work plan. All quarterly and annual reporting was completed on </w:t>
      </w:r>
      <w:proofErr w:type="gramStart"/>
      <w:r w:rsidR="00065667" w:rsidRPr="000B67FD">
        <w:rPr>
          <w:rFonts w:cstheme="minorHAnsi"/>
          <w:bCs/>
          <w:sz w:val="24"/>
          <w:szCs w:val="24"/>
        </w:rPr>
        <w:t>schedule</w:t>
      </w:r>
      <w:proofErr w:type="gramEnd"/>
      <w:r w:rsidR="00065667" w:rsidRPr="000B67FD">
        <w:rPr>
          <w:rFonts w:cstheme="minorHAnsi"/>
          <w:bCs/>
          <w:sz w:val="24"/>
          <w:szCs w:val="24"/>
        </w:rPr>
        <w:t xml:space="preserve"> and all project ACRES reporting was timely completed.</w:t>
      </w:r>
    </w:p>
    <w:p w14:paraId="31D1F57E" w14:textId="2485DFED" w:rsidR="008E5DC0" w:rsidRPr="000B67FD" w:rsidRDefault="008E5DC0" w:rsidP="00E119A2">
      <w:pPr>
        <w:pStyle w:val="BodyText"/>
        <w:tabs>
          <w:tab w:val="left" w:pos="788"/>
        </w:tabs>
        <w:spacing w:line="240" w:lineRule="exact"/>
        <w:ind w:right="601"/>
        <w:rPr>
          <w:rFonts w:eastAsia="Calibri" w:cstheme="minorHAnsi"/>
          <w:b/>
          <w:bCs/>
          <w:i/>
          <w:sz w:val="24"/>
          <w:szCs w:val="24"/>
        </w:rPr>
      </w:pPr>
    </w:p>
    <w:sectPr w:rsidR="008E5DC0" w:rsidRPr="000B67FD" w:rsidSect="007E31AC">
      <w:headerReference w:type="even" r:id="rId18"/>
      <w:headerReference w:type="default" r:id="rId19"/>
      <w:footerReference w:type="default" r:id="rId20"/>
      <w:pgSz w:w="12240" w:h="15840"/>
      <w:pgMar w:top="1152" w:right="1008" w:bottom="1008" w:left="1152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ackey, Carrie" w:date="2025-12-12T18:27:00Z" w:initials="CR">
    <w:p w14:paraId="17BFA260" w14:textId="77777777" w:rsidR="00FD10AE" w:rsidRDefault="00FD10AE" w:rsidP="00FD10AE">
      <w:pPr>
        <w:pStyle w:val="CommentText"/>
      </w:pPr>
      <w:r>
        <w:rPr>
          <w:rStyle w:val="CommentReference"/>
        </w:rPr>
        <w:annotationRef/>
      </w:r>
      <w:r>
        <w:rPr>
          <w:color w:val="000000"/>
        </w:rPr>
        <w:t xml:space="preserve">If applicable, describe how the reuse of the proposed site(s) will facilitate renewable energy from wind, solar, or geothermal energy; or will incorporate energy efficiency measures. </w:t>
      </w:r>
    </w:p>
  </w:comment>
  <w:comment w:id="1" w:author="Rackey, Carrie" w:date="2025-12-19T12:34:00Z" w:initials="CR">
    <w:p w14:paraId="07DB934D" w14:textId="77777777" w:rsidR="00F373E2" w:rsidRDefault="00F373E2" w:rsidP="00F373E2">
      <w:pPr>
        <w:pStyle w:val="CommentText"/>
      </w:pPr>
      <w:r>
        <w:rPr>
          <w:rStyle w:val="CommentReference"/>
        </w:rPr>
        <w:annotationRef/>
      </w:r>
      <w:r>
        <w:t>Cleanup funded by this grant will remove environmental barriers to reuse, preparing the Site for safe revitalization with uses that deliver economic opportunity, public access, and environmental protection.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BFA260" w15:done="0"/>
  <w15:commentEx w15:paraId="07DB934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792941" w16cex:dateUtc="2025-12-13T02:27:00Z"/>
  <w16cex:commentExtensible w16cex:durableId="340E3589" w16cex:dateUtc="2025-12-19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BFA260" w16cid:durableId="10792941"/>
  <w16cid:commentId w16cid:paraId="07DB934D" w16cid:durableId="340E35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2902" w14:textId="77777777" w:rsidR="00B423C2" w:rsidRDefault="00B423C2" w:rsidP="003E5957">
      <w:pPr>
        <w:spacing w:after="0" w:line="240" w:lineRule="auto"/>
      </w:pPr>
      <w:r>
        <w:separator/>
      </w:r>
    </w:p>
  </w:endnote>
  <w:endnote w:type="continuationSeparator" w:id="0">
    <w:p w14:paraId="6FBD26D2" w14:textId="77777777" w:rsidR="00B423C2" w:rsidRDefault="00B423C2" w:rsidP="003E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 Pro M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6F3954F" w14:paraId="2B7554AA" w14:textId="77777777" w:rsidTr="16F3954F">
      <w:trPr>
        <w:trHeight w:val="300"/>
      </w:trPr>
      <w:tc>
        <w:tcPr>
          <w:tcW w:w="3360" w:type="dxa"/>
        </w:tcPr>
        <w:p w14:paraId="4CD53146" w14:textId="4A3BB95B" w:rsidR="16F3954F" w:rsidRDefault="16F3954F" w:rsidP="16F3954F">
          <w:pPr>
            <w:pStyle w:val="Header"/>
            <w:ind w:left="-115"/>
          </w:pPr>
        </w:p>
      </w:tc>
      <w:tc>
        <w:tcPr>
          <w:tcW w:w="3360" w:type="dxa"/>
        </w:tcPr>
        <w:p w14:paraId="155DCA26" w14:textId="7AFDEA44" w:rsidR="16F3954F" w:rsidRDefault="16F3954F" w:rsidP="16F3954F">
          <w:pPr>
            <w:pStyle w:val="Header"/>
            <w:jc w:val="center"/>
          </w:pPr>
        </w:p>
      </w:tc>
      <w:tc>
        <w:tcPr>
          <w:tcW w:w="3360" w:type="dxa"/>
        </w:tcPr>
        <w:p w14:paraId="4A97A02D" w14:textId="598E576A" w:rsidR="16F3954F" w:rsidRDefault="16F3954F" w:rsidP="16F3954F">
          <w:pPr>
            <w:pStyle w:val="Header"/>
            <w:ind w:right="-115"/>
            <w:jc w:val="right"/>
          </w:pPr>
        </w:p>
      </w:tc>
    </w:tr>
  </w:tbl>
  <w:p w14:paraId="361102D6" w14:textId="0623766A" w:rsidR="00DF6B1A" w:rsidRDefault="00DF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A3503" w14:textId="77777777" w:rsidR="00B423C2" w:rsidRDefault="00B423C2" w:rsidP="003E5957">
      <w:pPr>
        <w:spacing w:after="0" w:line="240" w:lineRule="auto"/>
      </w:pPr>
      <w:r>
        <w:separator/>
      </w:r>
    </w:p>
  </w:footnote>
  <w:footnote w:type="continuationSeparator" w:id="0">
    <w:p w14:paraId="066921D4" w14:textId="77777777" w:rsidR="00B423C2" w:rsidRDefault="00B423C2" w:rsidP="003E5957">
      <w:pPr>
        <w:spacing w:after="0" w:line="240" w:lineRule="auto"/>
      </w:pPr>
      <w:r>
        <w:continuationSeparator/>
      </w:r>
    </w:p>
  </w:footnote>
  <w:footnote w:id="1">
    <w:p w14:paraId="2C321600" w14:textId="178584C2" w:rsidR="00FE3509" w:rsidRDefault="00FE35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E3509">
        <w:t>https://www.tumwatavillage.org/wp-content/uploads/2024/09/2023-0112-WM_GBD-Tumwata_Small.pdf</w:t>
      </w:r>
    </w:p>
  </w:footnote>
  <w:footnote w:id="2">
    <w:p w14:paraId="1ACAC7E8" w14:textId="563D9924" w:rsidR="001B4F00" w:rsidRDefault="001B4F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CC1B83">
        <w:t>Conservatively a</w:t>
      </w:r>
      <w:r w:rsidR="004E1462">
        <w:t xml:space="preserve">ssuming </w:t>
      </w:r>
      <w:r w:rsidR="00CC1B83">
        <w:t xml:space="preserve">2,500 </w:t>
      </w:r>
      <w:r w:rsidR="004E1462">
        <w:t xml:space="preserve">part time (1,040 </w:t>
      </w:r>
      <w:proofErr w:type="spellStart"/>
      <w:r w:rsidR="004E1462">
        <w:t>hrs</w:t>
      </w:r>
      <w:proofErr w:type="spellEnd"/>
      <w:r w:rsidR="004E1462">
        <w:t>/year) minimum wage ($16.30/</w:t>
      </w:r>
      <w:proofErr w:type="spellStart"/>
      <w:r w:rsidR="004E1462">
        <w:t>hr</w:t>
      </w:r>
      <w:proofErr w:type="spellEnd"/>
      <w:r w:rsidR="004E1462">
        <w:t>) jobs</w:t>
      </w:r>
    </w:p>
  </w:footnote>
  <w:footnote w:id="3">
    <w:p w14:paraId="07E10E3E" w14:textId="4D218ED4" w:rsidR="006E53A9" w:rsidRDefault="006E53A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E53A9">
          <w:rPr>
            <w:color w:val="0000FF"/>
            <w:sz w:val="18"/>
            <w:szCs w:val="18"/>
            <w:u w:val="single"/>
          </w:rPr>
          <w:t>The Value of Brownfield Remediation | Journal of the Association of Environmental and Resource Economists: Vol 4, No 1</w:t>
        </w:r>
      </w:hyperlink>
    </w:p>
  </w:footnote>
  <w:footnote w:id="4">
    <w:p w14:paraId="1FAEE128" w14:textId="552F8763" w:rsidR="00B36D09" w:rsidRDefault="00B36D0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anchor=":~:text=OREGON%20CITY%2C%20Or.,.clackamas.us/relief." w:history="1">
        <w:r w:rsidRPr="00B36D09">
          <w:rPr>
            <w:rStyle w:val="Hyperlink"/>
          </w:rPr>
          <w:t>Cooling centers open throughout Clackamas County</w:t>
        </w:r>
      </w:hyperlink>
    </w:p>
  </w:footnote>
  <w:footnote w:id="5">
    <w:p w14:paraId="248D28F5" w14:textId="4A6CA5F2" w:rsidR="009F67DA" w:rsidRDefault="009F67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F67DA">
        <w:rPr>
          <w:sz w:val="18"/>
          <w:szCs w:val="18"/>
        </w:rPr>
        <w:t>https://louisvilleky.gov/sites/default/files/2020-12/louisvillefactsheet.pdf</w:t>
      </w:r>
    </w:p>
  </w:footnote>
  <w:footnote w:id="6">
    <w:p w14:paraId="553461D8" w14:textId="77777777" w:rsidR="00A24AB7" w:rsidRDefault="00A24AB7" w:rsidP="00A24A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F714E7">
          <w:rPr>
            <w:rStyle w:val="Hyperlink"/>
          </w:rPr>
          <w:t>2025 Point in Time Count</w:t>
        </w:r>
      </w:hyperlink>
    </w:p>
  </w:footnote>
  <w:footnote w:id="7">
    <w:p w14:paraId="03562FD8" w14:textId="6C6494B6" w:rsidR="00E53F65" w:rsidRDefault="00E53F6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E53F65">
          <w:rPr>
            <w:rStyle w:val="Hyperlink"/>
          </w:rPr>
          <w:t>2017 Community Health Assessment Clackamas County Public Health Division</w:t>
        </w:r>
      </w:hyperlink>
    </w:p>
  </w:footnote>
  <w:footnote w:id="8">
    <w:p w14:paraId="12C49AA3" w14:textId="44237A78" w:rsidR="00330683" w:rsidRDefault="003306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" w:anchor="results" w:history="1">
        <w:r w:rsidRPr="00FA0262">
          <w:rPr>
            <w:rStyle w:val="Hyperlink"/>
            <w:rFonts w:cstheme="minorHAnsi"/>
          </w:rPr>
          <w:t>NIH National Cancer Institute 2017-2021</w:t>
        </w:r>
      </w:hyperlink>
    </w:p>
  </w:footnote>
  <w:footnote w:id="9">
    <w:p w14:paraId="40E2B225" w14:textId="6A3BDFE5" w:rsidR="007576D3" w:rsidRDefault="007576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" w:history="1">
        <w:r w:rsidRPr="007576D3">
          <w:rPr>
            <w:rStyle w:val="Hyperlink"/>
          </w:rPr>
          <w:t>Oregon Health Authority</w:t>
        </w:r>
      </w:hyperlink>
    </w:p>
  </w:footnote>
  <w:footnote w:id="10">
    <w:p w14:paraId="399C5634" w14:textId="0855038D" w:rsidR="00302A39" w:rsidRDefault="00302A39">
      <w:pPr>
        <w:pStyle w:val="FootnoteText"/>
      </w:pPr>
      <w:r>
        <w:rPr>
          <w:rStyle w:val="FootnoteReference"/>
        </w:rPr>
        <w:footnoteRef/>
      </w:r>
      <w:r>
        <w:t xml:space="preserve"> Policy Map</w:t>
      </w:r>
    </w:p>
  </w:footnote>
  <w:footnote w:id="11">
    <w:p w14:paraId="34BA9113" w14:textId="5AE746EB" w:rsidR="00A83757" w:rsidRDefault="00A8375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C60D5">
        <w:t xml:space="preserve">ATSDR Place and Health GRASP Database </w:t>
      </w:r>
      <w:hyperlink r:id="rId7" w:history="1">
        <w:r w:rsidR="00FC60D5" w:rsidRPr="00CA0015">
          <w:rPr>
            <w:rStyle w:val="Hyperlink"/>
          </w:rPr>
          <w:t>https://www.atsdr.cdc.gov/place-health/php/eji/eji-explorer.html</w:t>
        </w:r>
      </w:hyperlink>
    </w:p>
    <w:p w14:paraId="45B58ECE" w14:textId="09BFC6AF" w:rsidR="00F76E32" w:rsidRPr="00F76E32" w:rsidRDefault="002D71CA" w:rsidP="00F76E32">
      <w:pPr>
        <w:pStyle w:val="FootnoteText"/>
        <w:rPr>
          <w:rFonts w:ascii="Roboto" w:eastAsia="Times New Roman" w:hAnsi="Roboto" w:cs="Times New Roman"/>
          <w:b/>
          <w:bCs/>
          <w:color w:val="4A4A4A"/>
          <w:sz w:val="36"/>
          <w:szCs w:val="36"/>
        </w:rPr>
      </w:pPr>
      <w:r>
        <w:t>*</w:t>
      </w:r>
      <w:r w:rsidR="00F76E32">
        <w:t xml:space="preserve">Represented by </w:t>
      </w:r>
      <w:r>
        <w:t xml:space="preserve">Census Tract </w:t>
      </w:r>
      <w:r w:rsidR="00F76E32" w:rsidRPr="00F76E32">
        <w:t>41005022400</w:t>
      </w:r>
      <w:r w:rsidR="00F76E32">
        <w:t xml:space="preserve"> which includes the Site</w:t>
      </w:r>
    </w:p>
    <w:p w14:paraId="341C1126" w14:textId="61344409" w:rsidR="002D71CA" w:rsidRDefault="002D71C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3CDE" w14:textId="77777777" w:rsidR="001A1C5B" w:rsidRDefault="001A1C5B" w:rsidP="00651DF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FCF01" w14:textId="77777777" w:rsidR="001A1C5B" w:rsidRDefault="001A1C5B" w:rsidP="006A5072">
    <w:pPr>
      <w:pStyle w:val="Header"/>
      <w:ind w:right="360"/>
    </w:pPr>
  </w:p>
  <w:p w14:paraId="2B714BFB" w14:textId="77777777" w:rsidR="001A1C5B" w:rsidRDefault="001A1C5B"/>
  <w:p w14:paraId="347C9834" w14:textId="77777777" w:rsidR="001A1C5B" w:rsidRDefault="001A1C5B" w:rsidP="00651DF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AE7C953" w14:textId="77777777" w:rsidR="001A1C5B" w:rsidRDefault="001A1C5B" w:rsidP="00C212F7">
    <w:pPr>
      <w:pStyle w:val="Header"/>
      <w:ind w:right="360"/>
      <w:rPr>
        <w:rFonts w:cstheme="minorHAnsi"/>
        <w:iCs/>
        <w:szCs w:val="20"/>
      </w:rPr>
    </w:pPr>
    <w:r>
      <w:rPr>
        <w:rFonts w:cstheme="minorHAnsi"/>
        <w:iCs/>
        <w:szCs w:val="20"/>
      </w:rPr>
      <w:t xml:space="preserve">FY2021 </w:t>
    </w:r>
    <w:r w:rsidRPr="00E6167C">
      <w:rPr>
        <w:rFonts w:cstheme="minorHAnsi"/>
        <w:iCs/>
        <w:szCs w:val="20"/>
      </w:rPr>
      <w:t xml:space="preserve">Brownfield </w:t>
    </w:r>
    <w:r>
      <w:rPr>
        <w:rFonts w:cstheme="minorHAnsi"/>
        <w:iCs/>
        <w:szCs w:val="20"/>
      </w:rPr>
      <w:t>Multipurpose</w:t>
    </w:r>
    <w:r w:rsidRPr="00E6167C">
      <w:rPr>
        <w:rFonts w:cstheme="minorHAnsi"/>
        <w:iCs/>
        <w:szCs w:val="20"/>
      </w:rPr>
      <w:t xml:space="preserve"> Grant</w:t>
    </w:r>
    <w:r>
      <w:rPr>
        <w:rFonts w:cstheme="minorHAnsi"/>
        <w:iCs/>
        <w:szCs w:val="20"/>
      </w:rPr>
      <w:t xml:space="preserve"> Application – Willamette Falls Downtown District</w:t>
    </w:r>
  </w:p>
  <w:p w14:paraId="1923451B" w14:textId="77777777" w:rsidR="001A1C5B" w:rsidRPr="00E6167C" w:rsidRDefault="001A1C5B" w:rsidP="00C212F7">
    <w:pPr>
      <w:pStyle w:val="Header"/>
      <w:ind w:right="360"/>
      <w:rPr>
        <w:rFonts w:cstheme="minorHAnsi"/>
        <w:szCs w:val="20"/>
      </w:rPr>
    </w:pPr>
    <w:r>
      <w:rPr>
        <w:rFonts w:cstheme="minorHAnsi"/>
        <w:iCs/>
        <w:szCs w:val="20"/>
      </w:rPr>
      <w:t>Confederated Tribes of the Grand Ronde Community of Oregon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D1B1" w14:textId="03C58B2F" w:rsidR="001A1C5B" w:rsidRDefault="001A1C5B" w:rsidP="00651DF8">
    <w:pPr>
      <w:pStyle w:val="Header"/>
      <w:framePr w:wrap="around" w:vAnchor="text" w:hAnchor="margin" w:xAlign="right" w:y="1"/>
      <w:rPr>
        <w:rStyle w:val="PageNumber"/>
      </w:rPr>
    </w:pPr>
    <w:bookmarkStart w:id="3" w:name="_Hlk531347292"/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E4B4223" w14:textId="245FDD89" w:rsidR="001A1C5B" w:rsidRPr="008D111C" w:rsidRDefault="00445950" w:rsidP="00C929F4">
    <w:pPr>
      <w:pStyle w:val="Header"/>
      <w:ind w:right="360"/>
      <w:jc w:val="center"/>
      <w:rPr>
        <w:b/>
      </w:rPr>
    </w:pPr>
    <w:r>
      <w:rPr>
        <w:b/>
      </w:rPr>
      <w:t>FY</w:t>
    </w:r>
    <w:r w:rsidR="001A1C5B" w:rsidRPr="1984BF49">
      <w:rPr>
        <w:b/>
      </w:rPr>
      <w:t>202</w:t>
    </w:r>
    <w:r w:rsidR="00F51117" w:rsidRPr="1984BF49">
      <w:rPr>
        <w:b/>
      </w:rPr>
      <w:t>6</w:t>
    </w:r>
    <w:r w:rsidR="001A1C5B" w:rsidRPr="1984BF49">
      <w:rPr>
        <w:b/>
      </w:rPr>
      <w:t xml:space="preserve"> Brownfield</w:t>
    </w:r>
    <w:r w:rsidR="005A6D18" w:rsidRPr="1984BF49">
      <w:rPr>
        <w:b/>
      </w:rPr>
      <w:t>s</w:t>
    </w:r>
    <w:r w:rsidR="001A1C5B" w:rsidRPr="1984BF49">
      <w:rPr>
        <w:b/>
      </w:rPr>
      <w:t xml:space="preserve"> </w:t>
    </w:r>
    <w:r w:rsidR="005A6D18" w:rsidRPr="1984BF49">
      <w:rPr>
        <w:b/>
      </w:rPr>
      <w:t>Cleanup</w:t>
    </w:r>
    <w:r w:rsidR="001A1C5B" w:rsidRPr="1984BF49">
      <w:rPr>
        <w:b/>
      </w:rPr>
      <w:t xml:space="preserve"> Grant Application – </w:t>
    </w:r>
    <w:proofErr w:type="spellStart"/>
    <w:r w:rsidR="1984BF49" w:rsidRPr="1984BF49">
      <w:rPr>
        <w:b/>
        <w:bCs/>
        <w:i/>
        <w:iCs/>
      </w:rPr>
      <w:t>tumwata</w:t>
    </w:r>
    <w:proofErr w:type="spellEnd"/>
    <w:r w:rsidR="1984BF49" w:rsidRPr="1984BF49">
      <w:rPr>
        <w:b/>
        <w:bCs/>
        <w:i/>
        <w:iCs/>
      </w:rPr>
      <w:t xml:space="preserve"> village</w:t>
    </w:r>
  </w:p>
  <w:p w14:paraId="1AA0FDE4" w14:textId="75855CA3" w:rsidR="001A1C5B" w:rsidRDefault="001A1C5B" w:rsidP="00C929F4">
    <w:pPr>
      <w:pStyle w:val="Header"/>
      <w:ind w:right="360"/>
      <w:jc w:val="center"/>
      <w:rPr>
        <w:rFonts w:cstheme="minorHAnsi"/>
        <w:iCs/>
        <w:szCs w:val="20"/>
      </w:rPr>
    </w:pPr>
    <w:r w:rsidRPr="008D111C">
      <w:rPr>
        <w:rFonts w:cstheme="minorHAnsi"/>
        <w:b/>
        <w:bCs/>
        <w:iCs/>
        <w:szCs w:val="20"/>
      </w:rPr>
      <w:t>Confederated Tribes of the Grand Ronde Community of Oregon</w:t>
    </w:r>
    <w:bookmarkEnd w:id="3"/>
  </w:p>
  <w:p w14:paraId="183FE08A" w14:textId="77777777" w:rsidR="001A1C5B" w:rsidRDefault="001A1C5B" w:rsidP="001571E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E6BA84"/>
    <w:multiLevelType w:val="hybridMultilevel"/>
    <w:tmpl w:val="2E5C83A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43FDC"/>
    <w:multiLevelType w:val="hybridMultilevel"/>
    <w:tmpl w:val="34D64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256"/>
    <w:multiLevelType w:val="hybridMultilevel"/>
    <w:tmpl w:val="5D981A48"/>
    <w:lvl w:ilvl="0" w:tplc="92C29A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6490D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E667DB"/>
    <w:multiLevelType w:val="hybridMultilevel"/>
    <w:tmpl w:val="57166D4C"/>
    <w:lvl w:ilvl="0" w:tplc="70E47C3A">
      <w:start w:val="3"/>
      <w:numFmt w:val="bullet"/>
      <w:lvlText w:val=""/>
      <w:lvlJc w:val="left"/>
      <w:pPr>
        <w:ind w:left="400" w:hanging="360"/>
      </w:pPr>
      <w:rPr>
        <w:rFonts w:ascii="Symbol" w:eastAsia="Calibr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4" w15:restartNumberingAfterBreak="0">
    <w:nsid w:val="06CB5A60"/>
    <w:multiLevelType w:val="hybridMultilevel"/>
    <w:tmpl w:val="A0243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033F6"/>
    <w:multiLevelType w:val="hybridMultilevel"/>
    <w:tmpl w:val="26B8C474"/>
    <w:lvl w:ilvl="0" w:tplc="B8AAEBD2">
      <w:start w:val="1"/>
      <w:numFmt w:val="bullet"/>
      <w:lvlText w:val="•"/>
      <w:lvlJc w:val="left"/>
      <w:pPr>
        <w:ind w:left="79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0DA822EF"/>
    <w:multiLevelType w:val="hybridMultilevel"/>
    <w:tmpl w:val="B944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B5391"/>
    <w:multiLevelType w:val="hybridMultilevel"/>
    <w:tmpl w:val="5984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269A5"/>
    <w:multiLevelType w:val="hybridMultilevel"/>
    <w:tmpl w:val="50DA278E"/>
    <w:lvl w:ilvl="0" w:tplc="98127576">
      <w:numFmt w:val="bullet"/>
      <w:lvlText w:val="-"/>
      <w:lvlJc w:val="left"/>
      <w:pPr>
        <w:ind w:left="799" w:hanging="360"/>
      </w:pPr>
      <w:rPr>
        <w:rFonts w:ascii="Courier New" w:eastAsia="Courier New" w:hAnsi="Courier New" w:cs="Courier New" w:hint="default"/>
        <w:b/>
        <w:bCs/>
        <w:color w:val="233845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9" w15:restartNumberingAfterBreak="0">
    <w:nsid w:val="1B7E7412"/>
    <w:multiLevelType w:val="hybridMultilevel"/>
    <w:tmpl w:val="5ACE2638"/>
    <w:lvl w:ilvl="0" w:tplc="0409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0" w15:restartNumberingAfterBreak="0">
    <w:nsid w:val="24854224"/>
    <w:multiLevelType w:val="hybridMultilevel"/>
    <w:tmpl w:val="3A809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3189D"/>
    <w:multiLevelType w:val="hybridMultilevel"/>
    <w:tmpl w:val="7C8CA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2C3BCC"/>
    <w:multiLevelType w:val="hybridMultilevel"/>
    <w:tmpl w:val="A86EFB8C"/>
    <w:lvl w:ilvl="0" w:tplc="F10E39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A2CC8"/>
    <w:multiLevelType w:val="hybridMultilevel"/>
    <w:tmpl w:val="7B3C104C"/>
    <w:lvl w:ilvl="0" w:tplc="B8AAEBD2">
      <w:start w:val="1"/>
      <w:numFmt w:val="bullet"/>
      <w:lvlText w:val="•"/>
      <w:lvlJc w:val="left"/>
      <w:pPr>
        <w:ind w:left="97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14" w15:restartNumberingAfterBreak="0">
    <w:nsid w:val="36760674"/>
    <w:multiLevelType w:val="hybridMultilevel"/>
    <w:tmpl w:val="8634F67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5" w15:restartNumberingAfterBreak="0">
    <w:nsid w:val="376F65E4"/>
    <w:multiLevelType w:val="hybridMultilevel"/>
    <w:tmpl w:val="43C0834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AFD418F"/>
    <w:multiLevelType w:val="hybridMultilevel"/>
    <w:tmpl w:val="ABEC2412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7" w15:restartNumberingAfterBreak="0">
    <w:nsid w:val="3B80704C"/>
    <w:multiLevelType w:val="hybridMultilevel"/>
    <w:tmpl w:val="5DB0B26A"/>
    <w:lvl w:ilvl="0" w:tplc="A62EB99E">
      <w:start w:val="1"/>
      <w:numFmt w:val="lowerRoman"/>
      <w:lvlText w:val="%1."/>
      <w:lvlJc w:val="left"/>
      <w:pPr>
        <w:ind w:left="70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4" w:hanging="360"/>
      </w:pPr>
    </w:lvl>
    <w:lvl w:ilvl="2" w:tplc="0409001B" w:tentative="1">
      <w:start w:val="1"/>
      <w:numFmt w:val="lowerRoman"/>
      <w:lvlText w:val="%3."/>
      <w:lvlJc w:val="right"/>
      <w:pPr>
        <w:ind w:left="1784" w:hanging="180"/>
      </w:pPr>
    </w:lvl>
    <w:lvl w:ilvl="3" w:tplc="0409000F" w:tentative="1">
      <w:start w:val="1"/>
      <w:numFmt w:val="decimal"/>
      <w:lvlText w:val="%4."/>
      <w:lvlJc w:val="left"/>
      <w:pPr>
        <w:ind w:left="2504" w:hanging="360"/>
      </w:pPr>
    </w:lvl>
    <w:lvl w:ilvl="4" w:tplc="04090019" w:tentative="1">
      <w:start w:val="1"/>
      <w:numFmt w:val="lowerLetter"/>
      <w:lvlText w:val="%5."/>
      <w:lvlJc w:val="left"/>
      <w:pPr>
        <w:ind w:left="3224" w:hanging="360"/>
      </w:pPr>
    </w:lvl>
    <w:lvl w:ilvl="5" w:tplc="0409001B" w:tentative="1">
      <w:start w:val="1"/>
      <w:numFmt w:val="lowerRoman"/>
      <w:lvlText w:val="%6."/>
      <w:lvlJc w:val="right"/>
      <w:pPr>
        <w:ind w:left="3944" w:hanging="180"/>
      </w:pPr>
    </w:lvl>
    <w:lvl w:ilvl="6" w:tplc="0409000F" w:tentative="1">
      <w:start w:val="1"/>
      <w:numFmt w:val="decimal"/>
      <w:lvlText w:val="%7."/>
      <w:lvlJc w:val="left"/>
      <w:pPr>
        <w:ind w:left="4664" w:hanging="360"/>
      </w:pPr>
    </w:lvl>
    <w:lvl w:ilvl="7" w:tplc="04090019" w:tentative="1">
      <w:start w:val="1"/>
      <w:numFmt w:val="lowerLetter"/>
      <w:lvlText w:val="%8."/>
      <w:lvlJc w:val="left"/>
      <w:pPr>
        <w:ind w:left="5384" w:hanging="360"/>
      </w:pPr>
    </w:lvl>
    <w:lvl w:ilvl="8" w:tplc="040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8" w15:restartNumberingAfterBreak="0">
    <w:nsid w:val="3D373554"/>
    <w:multiLevelType w:val="hybridMultilevel"/>
    <w:tmpl w:val="A95CD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FD741D"/>
    <w:multiLevelType w:val="hybridMultilevel"/>
    <w:tmpl w:val="7DF48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55BBC4"/>
    <w:multiLevelType w:val="hybridMultilevel"/>
    <w:tmpl w:val="59FE096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4A70307"/>
    <w:multiLevelType w:val="hybridMultilevel"/>
    <w:tmpl w:val="BA586028"/>
    <w:lvl w:ilvl="0" w:tplc="3F563F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65F70"/>
    <w:multiLevelType w:val="hybridMultilevel"/>
    <w:tmpl w:val="E80819EE"/>
    <w:lvl w:ilvl="0" w:tplc="A1D054B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2375C"/>
    <w:multiLevelType w:val="hybridMultilevel"/>
    <w:tmpl w:val="12E66830"/>
    <w:lvl w:ilvl="0" w:tplc="673013FC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w w:val="100"/>
      </w:rPr>
    </w:lvl>
    <w:lvl w:ilvl="1" w:tplc="FD7C2192">
      <w:start w:val="1"/>
      <w:numFmt w:val="decimal"/>
      <w:lvlText w:val="%2."/>
      <w:lvlJc w:val="left"/>
      <w:pPr>
        <w:ind w:left="1520" w:hanging="360"/>
      </w:pPr>
      <w:rPr>
        <w:rFonts w:ascii="Times New Roman" w:eastAsia="Times New Roman" w:hAnsi="Times New Roman" w:cs="Times New Roman" w:hint="default"/>
        <w:b/>
        <w:bCs/>
        <w:spacing w:val="-3"/>
        <w:w w:val="93"/>
        <w:sz w:val="24"/>
        <w:szCs w:val="24"/>
      </w:rPr>
    </w:lvl>
    <w:lvl w:ilvl="2" w:tplc="4DE0056A"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3300DC1A">
      <w:numFmt w:val="bullet"/>
      <w:lvlText w:val="•"/>
      <w:lvlJc w:val="left"/>
      <w:pPr>
        <w:ind w:left="3720" w:hanging="360"/>
      </w:pPr>
      <w:rPr>
        <w:rFonts w:hint="default"/>
      </w:rPr>
    </w:lvl>
    <w:lvl w:ilvl="4" w:tplc="874E6100">
      <w:numFmt w:val="bullet"/>
      <w:lvlText w:val="•"/>
      <w:lvlJc w:val="left"/>
      <w:pPr>
        <w:ind w:left="4820" w:hanging="360"/>
      </w:pPr>
      <w:rPr>
        <w:rFonts w:hint="default"/>
      </w:rPr>
    </w:lvl>
    <w:lvl w:ilvl="5" w:tplc="C1E89430">
      <w:numFmt w:val="bullet"/>
      <w:lvlText w:val="•"/>
      <w:lvlJc w:val="left"/>
      <w:pPr>
        <w:ind w:left="5920" w:hanging="360"/>
      </w:pPr>
      <w:rPr>
        <w:rFonts w:hint="default"/>
      </w:rPr>
    </w:lvl>
    <w:lvl w:ilvl="6" w:tplc="90744D50">
      <w:numFmt w:val="bullet"/>
      <w:lvlText w:val="•"/>
      <w:lvlJc w:val="left"/>
      <w:pPr>
        <w:ind w:left="7020" w:hanging="360"/>
      </w:pPr>
      <w:rPr>
        <w:rFonts w:hint="default"/>
      </w:rPr>
    </w:lvl>
    <w:lvl w:ilvl="7" w:tplc="7B62EB56">
      <w:numFmt w:val="bullet"/>
      <w:lvlText w:val="•"/>
      <w:lvlJc w:val="left"/>
      <w:pPr>
        <w:ind w:left="8120" w:hanging="360"/>
      </w:pPr>
      <w:rPr>
        <w:rFonts w:hint="default"/>
      </w:rPr>
    </w:lvl>
    <w:lvl w:ilvl="8" w:tplc="D420648C">
      <w:numFmt w:val="bullet"/>
      <w:lvlText w:val="•"/>
      <w:lvlJc w:val="left"/>
      <w:pPr>
        <w:ind w:left="9220" w:hanging="360"/>
      </w:pPr>
      <w:rPr>
        <w:rFonts w:hint="default"/>
      </w:rPr>
    </w:lvl>
  </w:abstractNum>
  <w:abstractNum w:abstractNumId="24" w15:restartNumberingAfterBreak="0">
    <w:nsid w:val="4D3819B6"/>
    <w:multiLevelType w:val="hybridMultilevel"/>
    <w:tmpl w:val="3E7C8ABE"/>
    <w:lvl w:ilvl="0" w:tplc="F10E39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025E5"/>
    <w:multiLevelType w:val="hybridMultilevel"/>
    <w:tmpl w:val="AEC08340"/>
    <w:lvl w:ilvl="0" w:tplc="F10E39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2C633E"/>
    <w:multiLevelType w:val="hybridMultilevel"/>
    <w:tmpl w:val="B80EA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07F61DF"/>
    <w:multiLevelType w:val="hybridMultilevel"/>
    <w:tmpl w:val="FC26E090"/>
    <w:lvl w:ilvl="0" w:tplc="592C72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9D7E8D"/>
    <w:multiLevelType w:val="hybridMultilevel"/>
    <w:tmpl w:val="C2E2CC68"/>
    <w:lvl w:ilvl="0" w:tplc="FDA2C060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16A31"/>
    <w:multiLevelType w:val="hybridMultilevel"/>
    <w:tmpl w:val="5B487500"/>
    <w:lvl w:ilvl="0" w:tplc="98127576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/>
        <w:bCs/>
        <w:color w:val="233845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B0A6A"/>
    <w:multiLevelType w:val="hybridMultilevel"/>
    <w:tmpl w:val="7160D13C"/>
    <w:lvl w:ilvl="0" w:tplc="6BCE42DE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7151C"/>
    <w:multiLevelType w:val="hybridMultilevel"/>
    <w:tmpl w:val="FCBC4280"/>
    <w:lvl w:ilvl="0" w:tplc="B94C1094">
      <w:start w:val="1"/>
      <w:numFmt w:val="decimal"/>
      <w:lvlText w:val="%1."/>
      <w:lvlJc w:val="left"/>
      <w:pPr>
        <w:ind w:left="7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5E2C3AA2">
      <w:start w:val="1"/>
      <w:numFmt w:val="lowerLetter"/>
      <w:lvlText w:val="%2."/>
      <w:lvlJc w:val="left"/>
      <w:pPr>
        <w:ind w:left="700" w:hanging="360"/>
      </w:pPr>
      <w:rPr>
        <w:rFonts w:hint="default"/>
        <w:b/>
        <w:bCs/>
        <w:w w:val="100"/>
      </w:rPr>
    </w:lvl>
    <w:lvl w:ilvl="2" w:tplc="DC8683E2">
      <w:start w:val="1"/>
      <w:numFmt w:val="upperLetter"/>
      <w:lvlText w:val="%3."/>
      <w:lvlJc w:val="left"/>
      <w:pPr>
        <w:ind w:left="34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 w:tplc="1C0A231E">
      <w:numFmt w:val="bullet"/>
      <w:lvlText w:val="•"/>
      <w:lvlJc w:val="left"/>
      <w:pPr>
        <w:ind w:left="3082" w:hanging="360"/>
      </w:pPr>
      <w:rPr>
        <w:rFonts w:hint="default"/>
      </w:rPr>
    </w:lvl>
    <w:lvl w:ilvl="4" w:tplc="BFBE5EC6">
      <w:numFmt w:val="bullet"/>
      <w:lvlText w:val="•"/>
      <w:lvlJc w:val="left"/>
      <w:pPr>
        <w:ind w:left="4273" w:hanging="360"/>
      </w:pPr>
      <w:rPr>
        <w:rFonts w:hint="default"/>
      </w:rPr>
    </w:lvl>
    <w:lvl w:ilvl="5" w:tplc="63B0C1A8">
      <w:numFmt w:val="bullet"/>
      <w:lvlText w:val="•"/>
      <w:lvlJc w:val="left"/>
      <w:pPr>
        <w:ind w:left="5464" w:hanging="360"/>
      </w:pPr>
      <w:rPr>
        <w:rFonts w:hint="default"/>
      </w:rPr>
    </w:lvl>
    <w:lvl w:ilvl="6" w:tplc="D0D8654C">
      <w:numFmt w:val="bullet"/>
      <w:lvlText w:val="•"/>
      <w:lvlJc w:val="left"/>
      <w:pPr>
        <w:ind w:left="6655" w:hanging="360"/>
      </w:pPr>
      <w:rPr>
        <w:rFonts w:hint="default"/>
      </w:rPr>
    </w:lvl>
    <w:lvl w:ilvl="7" w:tplc="7C8209C4">
      <w:numFmt w:val="bullet"/>
      <w:lvlText w:val="•"/>
      <w:lvlJc w:val="left"/>
      <w:pPr>
        <w:ind w:left="7846" w:hanging="360"/>
      </w:pPr>
      <w:rPr>
        <w:rFonts w:hint="default"/>
      </w:rPr>
    </w:lvl>
    <w:lvl w:ilvl="8" w:tplc="1F4893A6">
      <w:numFmt w:val="bullet"/>
      <w:lvlText w:val="•"/>
      <w:lvlJc w:val="left"/>
      <w:pPr>
        <w:ind w:left="9037" w:hanging="360"/>
      </w:pPr>
      <w:rPr>
        <w:rFonts w:hint="default"/>
      </w:rPr>
    </w:lvl>
  </w:abstractNum>
  <w:abstractNum w:abstractNumId="32" w15:restartNumberingAfterBreak="0">
    <w:nsid w:val="76B6066D"/>
    <w:multiLevelType w:val="hybridMultilevel"/>
    <w:tmpl w:val="76B8CA9A"/>
    <w:lvl w:ilvl="0" w:tplc="F8626394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w w:val="100"/>
      </w:rPr>
    </w:lvl>
    <w:lvl w:ilvl="1" w:tplc="8A7E9504"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5B94B586"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54EE9672">
      <w:numFmt w:val="bullet"/>
      <w:lvlText w:val="•"/>
      <w:lvlJc w:val="left"/>
      <w:pPr>
        <w:ind w:left="3916" w:hanging="360"/>
      </w:pPr>
      <w:rPr>
        <w:rFonts w:hint="default"/>
      </w:rPr>
    </w:lvl>
    <w:lvl w:ilvl="4" w:tplc="15F6041A">
      <w:numFmt w:val="bullet"/>
      <w:lvlText w:val="•"/>
      <w:lvlJc w:val="left"/>
      <w:pPr>
        <w:ind w:left="4988" w:hanging="360"/>
      </w:pPr>
      <w:rPr>
        <w:rFonts w:hint="default"/>
      </w:rPr>
    </w:lvl>
    <w:lvl w:ilvl="5" w:tplc="C5CCDB68">
      <w:numFmt w:val="bullet"/>
      <w:lvlText w:val="•"/>
      <w:lvlJc w:val="left"/>
      <w:pPr>
        <w:ind w:left="6060" w:hanging="360"/>
      </w:pPr>
      <w:rPr>
        <w:rFonts w:hint="default"/>
      </w:rPr>
    </w:lvl>
    <w:lvl w:ilvl="6" w:tplc="9DD0E62E">
      <w:numFmt w:val="bullet"/>
      <w:lvlText w:val="•"/>
      <w:lvlJc w:val="left"/>
      <w:pPr>
        <w:ind w:left="7132" w:hanging="360"/>
      </w:pPr>
      <w:rPr>
        <w:rFonts w:hint="default"/>
      </w:rPr>
    </w:lvl>
    <w:lvl w:ilvl="7" w:tplc="FDC2B536">
      <w:numFmt w:val="bullet"/>
      <w:lvlText w:val="•"/>
      <w:lvlJc w:val="left"/>
      <w:pPr>
        <w:ind w:left="8204" w:hanging="360"/>
      </w:pPr>
      <w:rPr>
        <w:rFonts w:hint="default"/>
      </w:rPr>
    </w:lvl>
    <w:lvl w:ilvl="8" w:tplc="841A69E0">
      <w:numFmt w:val="bullet"/>
      <w:lvlText w:val="•"/>
      <w:lvlJc w:val="left"/>
      <w:pPr>
        <w:ind w:left="9276" w:hanging="360"/>
      </w:pPr>
      <w:rPr>
        <w:rFonts w:hint="default"/>
      </w:rPr>
    </w:lvl>
  </w:abstractNum>
  <w:abstractNum w:abstractNumId="33" w15:restartNumberingAfterBreak="0">
    <w:nsid w:val="775D6CFD"/>
    <w:multiLevelType w:val="hybridMultilevel"/>
    <w:tmpl w:val="EBF6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342037">
    <w:abstractNumId w:val="33"/>
  </w:num>
  <w:num w:numId="2" w16cid:durableId="1952395348">
    <w:abstractNumId w:val="1"/>
  </w:num>
  <w:num w:numId="3" w16cid:durableId="1760755890">
    <w:abstractNumId w:val="4"/>
  </w:num>
  <w:num w:numId="4" w16cid:durableId="1337422503">
    <w:abstractNumId w:val="10"/>
  </w:num>
  <w:num w:numId="5" w16cid:durableId="528615261">
    <w:abstractNumId w:val="2"/>
  </w:num>
  <w:num w:numId="6" w16cid:durableId="101539169">
    <w:abstractNumId w:val="11"/>
  </w:num>
  <w:num w:numId="7" w16cid:durableId="134296137">
    <w:abstractNumId w:val="19"/>
  </w:num>
  <w:num w:numId="8" w16cid:durableId="1588149313">
    <w:abstractNumId w:val="15"/>
  </w:num>
  <w:num w:numId="9" w16cid:durableId="777141525">
    <w:abstractNumId w:val="26"/>
  </w:num>
  <w:num w:numId="10" w16cid:durableId="1487167925">
    <w:abstractNumId w:val="7"/>
  </w:num>
  <w:num w:numId="11" w16cid:durableId="639384203">
    <w:abstractNumId w:val="6"/>
  </w:num>
  <w:num w:numId="12" w16cid:durableId="879248299">
    <w:abstractNumId w:val="25"/>
  </w:num>
  <w:num w:numId="13" w16cid:durableId="1296641835">
    <w:abstractNumId w:val="0"/>
  </w:num>
  <w:num w:numId="14" w16cid:durableId="1895581929">
    <w:abstractNumId w:val="20"/>
  </w:num>
  <w:num w:numId="15" w16cid:durableId="122584475">
    <w:abstractNumId w:val="24"/>
  </w:num>
  <w:num w:numId="16" w16cid:durableId="517080814">
    <w:abstractNumId w:val="12"/>
  </w:num>
  <w:num w:numId="17" w16cid:durableId="212276143">
    <w:abstractNumId w:val="21"/>
  </w:num>
  <w:num w:numId="18" w16cid:durableId="2030795513">
    <w:abstractNumId w:val="28"/>
  </w:num>
  <w:num w:numId="19" w16cid:durableId="997418704">
    <w:abstractNumId w:val="9"/>
  </w:num>
  <w:num w:numId="20" w16cid:durableId="1902598887">
    <w:abstractNumId w:val="13"/>
  </w:num>
  <w:num w:numId="21" w16cid:durableId="347755657">
    <w:abstractNumId w:val="22"/>
  </w:num>
  <w:num w:numId="22" w16cid:durableId="25760301">
    <w:abstractNumId w:val="17"/>
  </w:num>
  <w:num w:numId="23" w16cid:durableId="1007248921">
    <w:abstractNumId w:val="31"/>
  </w:num>
  <w:num w:numId="24" w16cid:durableId="1734885760">
    <w:abstractNumId w:val="18"/>
  </w:num>
  <w:num w:numId="25" w16cid:durableId="837695989">
    <w:abstractNumId w:val="32"/>
  </w:num>
  <w:num w:numId="26" w16cid:durableId="1002440345">
    <w:abstractNumId w:val="23"/>
  </w:num>
  <w:num w:numId="27" w16cid:durableId="1608462022">
    <w:abstractNumId w:val="29"/>
  </w:num>
  <w:num w:numId="28" w16cid:durableId="467012169">
    <w:abstractNumId w:val="5"/>
  </w:num>
  <w:num w:numId="29" w16cid:durableId="227692448">
    <w:abstractNumId w:val="16"/>
  </w:num>
  <w:num w:numId="30" w16cid:durableId="1037268743">
    <w:abstractNumId w:val="27"/>
  </w:num>
  <w:num w:numId="31" w16cid:durableId="2053264902">
    <w:abstractNumId w:val="8"/>
  </w:num>
  <w:num w:numId="32" w16cid:durableId="300114528">
    <w:abstractNumId w:val="30"/>
  </w:num>
  <w:num w:numId="33" w16cid:durableId="2143646892">
    <w:abstractNumId w:val="3"/>
  </w:num>
  <w:num w:numId="34" w16cid:durableId="66474949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ckey, Carrie">
    <w15:presenceInfo w15:providerId="AD" w15:userId="S::carrie.rackey@stantec.com::ac56320b-ed94-4a14-b783-a85364cadd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F1"/>
    <w:rsid w:val="00000FB6"/>
    <w:rsid w:val="0000274C"/>
    <w:rsid w:val="00002971"/>
    <w:rsid w:val="0000310B"/>
    <w:rsid w:val="000032B7"/>
    <w:rsid w:val="000035F1"/>
    <w:rsid w:val="00003BB7"/>
    <w:rsid w:val="00004A4C"/>
    <w:rsid w:val="00005D69"/>
    <w:rsid w:val="000060EF"/>
    <w:rsid w:val="00006D0E"/>
    <w:rsid w:val="00007246"/>
    <w:rsid w:val="000100DC"/>
    <w:rsid w:val="00010DF1"/>
    <w:rsid w:val="00011953"/>
    <w:rsid w:val="00014B7A"/>
    <w:rsid w:val="00015596"/>
    <w:rsid w:val="00015B16"/>
    <w:rsid w:val="000209AD"/>
    <w:rsid w:val="0002109C"/>
    <w:rsid w:val="00021AE9"/>
    <w:rsid w:val="00021BC2"/>
    <w:rsid w:val="0002304B"/>
    <w:rsid w:val="00024335"/>
    <w:rsid w:val="000244EB"/>
    <w:rsid w:val="00024820"/>
    <w:rsid w:val="00026042"/>
    <w:rsid w:val="00027236"/>
    <w:rsid w:val="000305F8"/>
    <w:rsid w:val="00031C14"/>
    <w:rsid w:val="00031E67"/>
    <w:rsid w:val="000329D5"/>
    <w:rsid w:val="00035BE8"/>
    <w:rsid w:val="00035FC7"/>
    <w:rsid w:val="00036280"/>
    <w:rsid w:val="000364CE"/>
    <w:rsid w:val="00036842"/>
    <w:rsid w:val="00037CEA"/>
    <w:rsid w:val="000405DC"/>
    <w:rsid w:val="00040D4D"/>
    <w:rsid w:val="00040FEF"/>
    <w:rsid w:val="0004242E"/>
    <w:rsid w:val="000438E6"/>
    <w:rsid w:val="00043D85"/>
    <w:rsid w:val="00043F3B"/>
    <w:rsid w:val="0004426D"/>
    <w:rsid w:val="0004462E"/>
    <w:rsid w:val="00044675"/>
    <w:rsid w:val="0004528B"/>
    <w:rsid w:val="000461B9"/>
    <w:rsid w:val="0004703F"/>
    <w:rsid w:val="000477B2"/>
    <w:rsid w:val="00050753"/>
    <w:rsid w:val="000508EA"/>
    <w:rsid w:val="00052328"/>
    <w:rsid w:val="00052525"/>
    <w:rsid w:val="00052880"/>
    <w:rsid w:val="00053A85"/>
    <w:rsid w:val="0005519C"/>
    <w:rsid w:val="00055470"/>
    <w:rsid w:val="000563B7"/>
    <w:rsid w:val="00056714"/>
    <w:rsid w:val="00056A14"/>
    <w:rsid w:val="00057462"/>
    <w:rsid w:val="000626ED"/>
    <w:rsid w:val="000633FD"/>
    <w:rsid w:val="000635C9"/>
    <w:rsid w:val="0006443C"/>
    <w:rsid w:val="00064E8A"/>
    <w:rsid w:val="00065667"/>
    <w:rsid w:val="00065A36"/>
    <w:rsid w:val="00065CF2"/>
    <w:rsid w:val="00066F3B"/>
    <w:rsid w:val="00072A4C"/>
    <w:rsid w:val="00072BB5"/>
    <w:rsid w:val="00073C28"/>
    <w:rsid w:val="0007461C"/>
    <w:rsid w:val="00076009"/>
    <w:rsid w:val="00080B25"/>
    <w:rsid w:val="000812D4"/>
    <w:rsid w:val="00081951"/>
    <w:rsid w:val="000824B8"/>
    <w:rsid w:val="00082FAA"/>
    <w:rsid w:val="0008317C"/>
    <w:rsid w:val="000837BE"/>
    <w:rsid w:val="00083CBC"/>
    <w:rsid w:val="00084375"/>
    <w:rsid w:val="000846EB"/>
    <w:rsid w:val="00085197"/>
    <w:rsid w:val="0008591E"/>
    <w:rsid w:val="00085A8A"/>
    <w:rsid w:val="0008649B"/>
    <w:rsid w:val="00086744"/>
    <w:rsid w:val="00086D34"/>
    <w:rsid w:val="0008708D"/>
    <w:rsid w:val="0008737F"/>
    <w:rsid w:val="000878E1"/>
    <w:rsid w:val="000902A3"/>
    <w:rsid w:val="000917AA"/>
    <w:rsid w:val="00092065"/>
    <w:rsid w:val="000920A9"/>
    <w:rsid w:val="00092608"/>
    <w:rsid w:val="00092676"/>
    <w:rsid w:val="00093325"/>
    <w:rsid w:val="00093395"/>
    <w:rsid w:val="00093500"/>
    <w:rsid w:val="00093B72"/>
    <w:rsid w:val="00094297"/>
    <w:rsid w:val="000944D7"/>
    <w:rsid w:val="00095111"/>
    <w:rsid w:val="00095BC8"/>
    <w:rsid w:val="00096546"/>
    <w:rsid w:val="000A10DD"/>
    <w:rsid w:val="000A2B6F"/>
    <w:rsid w:val="000A3106"/>
    <w:rsid w:val="000A3570"/>
    <w:rsid w:val="000A4BAE"/>
    <w:rsid w:val="000A564F"/>
    <w:rsid w:val="000A6235"/>
    <w:rsid w:val="000A6E6D"/>
    <w:rsid w:val="000A7115"/>
    <w:rsid w:val="000A74C1"/>
    <w:rsid w:val="000A75DB"/>
    <w:rsid w:val="000A7BF0"/>
    <w:rsid w:val="000B05BF"/>
    <w:rsid w:val="000B2C2A"/>
    <w:rsid w:val="000B479E"/>
    <w:rsid w:val="000B4911"/>
    <w:rsid w:val="000B4B16"/>
    <w:rsid w:val="000B64A9"/>
    <w:rsid w:val="000B67FD"/>
    <w:rsid w:val="000B7976"/>
    <w:rsid w:val="000C13AA"/>
    <w:rsid w:val="000C1DC2"/>
    <w:rsid w:val="000C2BD9"/>
    <w:rsid w:val="000C2C0D"/>
    <w:rsid w:val="000C3129"/>
    <w:rsid w:val="000C495A"/>
    <w:rsid w:val="000C498E"/>
    <w:rsid w:val="000C4BC2"/>
    <w:rsid w:val="000C4FFD"/>
    <w:rsid w:val="000C645C"/>
    <w:rsid w:val="000C6610"/>
    <w:rsid w:val="000C75E7"/>
    <w:rsid w:val="000D03B5"/>
    <w:rsid w:val="000D0A05"/>
    <w:rsid w:val="000D0CA5"/>
    <w:rsid w:val="000D1EBB"/>
    <w:rsid w:val="000D2806"/>
    <w:rsid w:val="000D2B5F"/>
    <w:rsid w:val="000D5308"/>
    <w:rsid w:val="000D555C"/>
    <w:rsid w:val="000D5F9A"/>
    <w:rsid w:val="000D6DC1"/>
    <w:rsid w:val="000D7BEC"/>
    <w:rsid w:val="000E0B30"/>
    <w:rsid w:val="000E3674"/>
    <w:rsid w:val="000E36C8"/>
    <w:rsid w:val="000E3881"/>
    <w:rsid w:val="000E69F5"/>
    <w:rsid w:val="000E6ADA"/>
    <w:rsid w:val="000E6E61"/>
    <w:rsid w:val="000E7EC9"/>
    <w:rsid w:val="000F25CC"/>
    <w:rsid w:val="000F2DB5"/>
    <w:rsid w:val="000F4F9D"/>
    <w:rsid w:val="000F54E0"/>
    <w:rsid w:val="000F6876"/>
    <w:rsid w:val="000F71A3"/>
    <w:rsid w:val="001019A4"/>
    <w:rsid w:val="00101C5C"/>
    <w:rsid w:val="00102468"/>
    <w:rsid w:val="00103500"/>
    <w:rsid w:val="00103677"/>
    <w:rsid w:val="0010386B"/>
    <w:rsid w:val="00104433"/>
    <w:rsid w:val="001048E8"/>
    <w:rsid w:val="00105F64"/>
    <w:rsid w:val="00106524"/>
    <w:rsid w:val="00106E60"/>
    <w:rsid w:val="00106E84"/>
    <w:rsid w:val="001079A5"/>
    <w:rsid w:val="00110BDC"/>
    <w:rsid w:val="00110FC2"/>
    <w:rsid w:val="00111E15"/>
    <w:rsid w:val="001136C9"/>
    <w:rsid w:val="00114643"/>
    <w:rsid w:val="0011465F"/>
    <w:rsid w:val="00116312"/>
    <w:rsid w:val="00116780"/>
    <w:rsid w:val="0011690F"/>
    <w:rsid w:val="001177E2"/>
    <w:rsid w:val="00120889"/>
    <w:rsid w:val="001215D4"/>
    <w:rsid w:val="00121E08"/>
    <w:rsid w:val="00122080"/>
    <w:rsid w:val="00123142"/>
    <w:rsid w:val="00123AED"/>
    <w:rsid w:val="0012527C"/>
    <w:rsid w:val="00127566"/>
    <w:rsid w:val="001303ED"/>
    <w:rsid w:val="001322A2"/>
    <w:rsid w:val="0013271D"/>
    <w:rsid w:val="00133A0A"/>
    <w:rsid w:val="001340EF"/>
    <w:rsid w:val="001348A3"/>
    <w:rsid w:val="00134D83"/>
    <w:rsid w:val="00135DC9"/>
    <w:rsid w:val="00136211"/>
    <w:rsid w:val="001366C2"/>
    <w:rsid w:val="00137D84"/>
    <w:rsid w:val="00140C2C"/>
    <w:rsid w:val="00140E65"/>
    <w:rsid w:val="001411A1"/>
    <w:rsid w:val="00142822"/>
    <w:rsid w:val="001438DF"/>
    <w:rsid w:val="001440B1"/>
    <w:rsid w:val="0014463B"/>
    <w:rsid w:val="001446AF"/>
    <w:rsid w:val="001449EE"/>
    <w:rsid w:val="00146663"/>
    <w:rsid w:val="00146EC6"/>
    <w:rsid w:val="0015189C"/>
    <w:rsid w:val="001530E3"/>
    <w:rsid w:val="0015393F"/>
    <w:rsid w:val="00154A31"/>
    <w:rsid w:val="001571E8"/>
    <w:rsid w:val="00157CE5"/>
    <w:rsid w:val="001607B5"/>
    <w:rsid w:val="00163330"/>
    <w:rsid w:val="00163A8D"/>
    <w:rsid w:val="00163C3E"/>
    <w:rsid w:val="00165F46"/>
    <w:rsid w:val="00166497"/>
    <w:rsid w:val="001667B2"/>
    <w:rsid w:val="0016692F"/>
    <w:rsid w:val="0017120E"/>
    <w:rsid w:val="001712DC"/>
    <w:rsid w:val="00171B66"/>
    <w:rsid w:val="00171F42"/>
    <w:rsid w:val="00172429"/>
    <w:rsid w:val="00172635"/>
    <w:rsid w:val="001733F3"/>
    <w:rsid w:val="00173864"/>
    <w:rsid w:val="00173DD2"/>
    <w:rsid w:val="0017422F"/>
    <w:rsid w:val="00174B5E"/>
    <w:rsid w:val="00174EF5"/>
    <w:rsid w:val="001753BA"/>
    <w:rsid w:val="001763AC"/>
    <w:rsid w:val="00180600"/>
    <w:rsid w:val="00180D0C"/>
    <w:rsid w:val="00180E98"/>
    <w:rsid w:val="00180F91"/>
    <w:rsid w:val="001813BE"/>
    <w:rsid w:val="00181AC5"/>
    <w:rsid w:val="0018257C"/>
    <w:rsid w:val="00182CBD"/>
    <w:rsid w:val="001836B5"/>
    <w:rsid w:val="0018413E"/>
    <w:rsid w:val="00184687"/>
    <w:rsid w:val="0018689C"/>
    <w:rsid w:val="0018768B"/>
    <w:rsid w:val="001902C0"/>
    <w:rsid w:val="001921D3"/>
    <w:rsid w:val="0019231F"/>
    <w:rsid w:val="00194194"/>
    <w:rsid w:val="0019480F"/>
    <w:rsid w:val="00194DEB"/>
    <w:rsid w:val="00195956"/>
    <w:rsid w:val="00195D2C"/>
    <w:rsid w:val="0019795C"/>
    <w:rsid w:val="00197EBF"/>
    <w:rsid w:val="001A0A81"/>
    <w:rsid w:val="001A0D35"/>
    <w:rsid w:val="001A110D"/>
    <w:rsid w:val="001A17B6"/>
    <w:rsid w:val="001A18BB"/>
    <w:rsid w:val="001A1C5B"/>
    <w:rsid w:val="001A234F"/>
    <w:rsid w:val="001A26DB"/>
    <w:rsid w:val="001A5BE9"/>
    <w:rsid w:val="001A6888"/>
    <w:rsid w:val="001A6C4D"/>
    <w:rsid w:val="001A6F2B"/>
    <w:rsid w:val="001A7747"/>
    <w:rsid w:val="001B0872"/>
    <w:rsid w:val="001B09AD"/>
    <w:rsid w:val="001B0EBE"/>
    <w:rsid w:val="001B129D"/>
    <w:rsid w:val="001B1307"/>
    <w:rsid w:val="001B168C"/>
    <w:rsid w:val="001B178E"/>
    <w:rsid w:val="001B201B"/>
    <w:rsid w:val="001B2529"/>
    <w:rsid w:val="001B32F0"/>
    <w:rsid w:val="001B4148"/>
    <w:rsid w:val="001B47AF"/>
    <w:rsid w:val="001B4F00"/>
    <w:rsid w:val="001B5767"/>
    <w:rsid w:val="001B57CB"/>
    <w:rsid w:val="001B591F"/>
    <w:rsid w:val="001B7672"/>
    <w:rsid w:val="001B76D6"/>
    <w:rsid w:val="001C0C9A"/>
    <w:rsid w:val="001C5D93"/>
    <w:rsid w:val="001C5E88"/>
    <w:rsid w:val="001C6238"/>
    <w:rsid w:val="001C657A"/>
    <w:rsid w:val="001C72FC"/>
    <w:rsid w:val="001C742A"/>
    <w:rsid w:val="001D06B8"/>
    <w:rsid w:val="001D0BC9"/>
    <w:rsid w:val="001D261F"/>
    <w:rsid w:val="001D2AEF"/>
    <w:rsid w:val="001D3E80"/>
    <w:rsid w:val="001D410F"/>
    <w:rsid w:val="001D48DF"/>
    <w:rsid w:val="001D4CD5"/>
    <w:rsid w:val="001D5959"/>
    <w:rsid w:val="001D5EA9"/>
    <w:rsid w:val="001D6712"/>
    <w:rsid w:val="001D75F7"/>
    <w:rsid w:val="001D786D"/>
    <w:rsid w:val="001D7FFB"/>
    <w:rsid w:val="001E078A"/>
    <w:rsid w:val="001E1140"/>
    <w:rsid w:val="001E20B6"/>
    <w:rsid w:val="001E22D7"/>
    <w:rsid w:val="001E2A8B"/>
    <w:rsid w:val="001E2B2B"/>
    <w:rsid w:val="001E2D1F"/>
    <w:rsid w:val="001E2E71"/>
    <w:rsid w:val="001E3FBB"/>
    <w:rsid w:val="001E45C3"/>
    <w:rsid w:val="001E4945"/>
    <w:rsid w:val="001E76F2"/>
    <w:rsid w:val="001E79D0"/>
    <w:rsid w:val="001F0E45"/>
    <w:rsid w:val="001F1B70"/>
    <w:rsid w:val="001F1F69"/>
    <w:rsid w:val="001F2618"/>
    <w:rsid w:val="001F3D8B"/>
    <w:rsid w:val="001F4951"/>
    <w:rsid w:val="001F508F"/>
    <w:rsid w:val="001F6397"/>
    <w:rsid w:val="001F7488"/>
    <w:rsid w:val="001F7FA4"/>
    <w:rsid w:val="00202933"/>
    <w:rsid w:val="002033E4"/>
    <w:rsid w:val="00206757"/>
    <w:rsid w:val="002069C5"/>
    <w:rsid w:val="00206EB6"/>
    <w:rsid w:val="00207972"/>
    <w:rsid w:val="00207A10"/>
    <w:rsid w:val="00207E7E"/>
    <w:rsid w:val="002104DC"/>
    <w:rsid w:val="00211077"/>
    <w:rsid w:val="00211AA6"/>
    <w:rsid w:val="00212110"/>
    <w:rsid w:val="002121B3"/>
    <w:rsid w:val="00212825"/>
    <w:rsid w:val="002131EC"/>
    <w:rsid w:val="0021346F"/>
    <w:rsid w:val="00213790"/>
    <w:rsid w:val="00214C58"/>
    <w:rsid w:val="00215945"/>
    <w:rsid w:val="0021619F"/>
    <w:rsid w:val="002172D4"/>
    <w:rsid w:val="002178DC"/>
    <w:rsid w:val="00217FD4"/>
    <w:rsid w:val="00220E94"/>
    <w:rsid w:val="00221824"/>
    <w:rsid w:val="00221B82"/>
    <w:rsid w:val="00221EC7"/>
    <w:rsid w:val="00222CFC"/>
    <w:rsid w:val="00222EBC"/>
    <w:rsid w:val="00226AA7"/>
    <w:rsid w:val="00227F99"/>
    <w:rsid w:val="0023004A"/>
    <w:rsid w:val="00230E4E"/>
    <w:rsid w:val="00230E84"/>
    <w:rsid w:val="002314F3"/>
    <w:rsid w:val="00231BAE"/>
    <w:rsid w:val="00231D44"/>
    <w:rsid w:val="002322CC"/>
    <w:rsid w:val="0023392C"/>
    <w:rsid w:val="002343A1"/>
    <w:rsid w:val="002350BE"/>
    <w:rsid w:val="00236F50"/>
    <w:rsid w:val="0023758B"/>
    <w:rsid w:val="00240A7D"/>
    <w:rsid w:val="00240F3B"/>
    <w:rsid w:val="0024419D"/>
    <w:rsid w:val="00244858"/>
    <w:rsid w:val="002453B8"/>
    <w:rsid w:val="00245C4D"/>
    <w:rsid w:val="002460B0"/>
    <w:rsid w:val="0024645E"/>
    <w:rsid w:val="00246E05"/>
    <w:rsid w:val="00250A53"/>
    <w:rsid w:val="00250F32"/>
    <w:rsid w:val="00251160"/>
    <w:rsid w:val="002512BA"/>
    <w:rsid w:val="0025295B"/>
    <w:rsid w:val="002531A9"/>
    <w:rsid w:val="00253BD6"/>
    <w:rsid w:val="0025672A"/>
    <w:rsid w:val="00257975"/>
    <w:rsid w:val="00260130"/>
    <w:rsid w:val="0026087D"/>
    <w:rsid w:val="00260B16"/>
    <w:rsid w:val="00261B6A"/>
    <w:rsid w:val="00261E3F"/>
    <w:rsid w:val="00263105"/>
    <w:rsid w:val="002639E0"/>
    <w:rsid w:val="00264E37"/>
    <w:rsid w:val="002651AA"/>
    <w:rsid w:val="002659AE"/>
    <w:rsid w:val="00265B43"/>
    <w:rsid w:val="00265B72"/>
    <w:rsid w:val="00266222"/>
    <w:rsid w:val="00266367"/>
    <w:rsid w:val="00266572"/>
    <w:rsid w:val="00266EE8"/>
    <w:rsid w:val="002671BE"/>
    <w:rsid w:val="0027001C"/>
    <w:rsid w:val="002702A2"/>
    <w:rsid w:val="00270308"/>
    <w:rsid w:val="00270DC4"/>
    <w:rsid w:val="00272A8D"/>
    <w:rsid w:val="00273CE4"/>
    <w:rsid w:val="002756DF"/>
    <w:rsid w:val="00276846"/>
    <w:rsid w:val="002768C4"/>
    <w:rsid w:val="00277099"/>
    <w:rsid w:val="002770C1"/>
    <w:rsid w:val="00277C94"/>
    <w:rsid w:val="0028058D"/>
    <w:rsid w:val="00281346"/>
    <w:rsid w:val="002813BC"/>
    <w:rsid w:val="00281E52"/>
    <w:rsid w:val="00283287"/>
    <w:rsid w:val="0028439B"/>
    <w:rsid w:val="00284500"/>
    <w:rsid w:val="00285007"/>
    <w:rsid w:val="00285340"/>
    <w:rsid w:val="0028555C"/>
    <w:rsid w:val="00285615"/>
    <w:rsid w:val="00285A4A"/>
    <w:rsid w:val="00285DFC"/>
    <w:rsid w:val="0028694D"/>
    <w:rsid w:val="002871F9"/>
    <w:rsid w:val="00287E14"/>
    <w:rsid w:val="002903F7"/>
    <w:rsid w:val="0029063F"/>
    <w:rsid w:val="002909E9"/>
    <w:rsid w:val="00291A93"/>
    <w:rsid w:val="00291BE5"/>
    <w:rsid w:val="00293F92"/>
    <w:rsid w:val="0029430E"/>
    <w:rsid w:val="00296063"/>
    <w:rsid w:val="00296AEB"/>
    <w:rsid w:val="00297838"/>
    <w:rsid w:val="00297947"/>
    <w:rsid w:val="00297A57"/>
    <w:rsid w:val="002A236A"/>
    <w:rsid w:val="002A33D0"/>
    <w:rsid w:val="002A344E"/>
    <w:rsid w:val="002A404F"/>
    <w:rsid w:val="002A6FE4"/>
    <w:rsid w:val="002B09E9"/>
    <w:rsid w:val="002B1425"/>
    <w:rsid w:val="002B1A23"/>
    <w:rsid w:val="002B1D7E"/>
    <w:rsid w:val="002B31D3"/>
    <w:rsid w:val="002B5082"/>
    <w:rsid w:val="002B6400"/>
    <w:rsid w:val="002B6EB0"/>
    <w:rsid w:val="002C0302"/>
    <w:rsid w:val="002C08EF"/>
    <w:rsid w:val="002C0D71"/>
    <w:rsid w:val="002C15C0"/>
    <w:rsid w:val="002C31E1"/>
    <w:rsid w:val="002C32F2"/>
    <w:rsid w:val="002C4A79"/>
    <w:rsid w:val="002C5014"/>
    <w:rsid w:val="002C5A6B"/>
    <w:rsid w:val="002C5D4F"/>
    <w:rsid w:val="002C6251"/>
    <w:rsid w:val="002D16BB"/>
    <w:rsid w:val="002D1C52"/>
    <w:rsid w:val="002D231E"/>
    <w:rsid w:val="002D32A9"/>
    <w:rsid w:val="002D503C"/>
    <w:rsid w:val="002D5595"/>
    <w:rsid w:val="002D5B6A"/>
    <w:rsid w:val="002D6848"/>
    <w:rsid w:val="002D698E"/>
    <w:rsid w:val="002D71CA"/>
    <w:rsid w:val="002E0438"/>
    <w:rsid w:val="002E0BA4"/>
    <w:rsid w:val="002E1383"/>
    <w:rsid w:val="002E1A3F"/>
    <w:rsid w:val="002E23E0"/>
    <w:rsid w:val="002E257E"/>
    <w:rsid w:val="002E38C5"/>
    <w:rsid w:val="002E4AF3"/>
    <w:rsid w:val="002E55A3"/>
    <w:rsid w:val="002F00DC"/>
    <w:rsid w:val="002F088D"/>
    <w:rsid w:val="002F0FDE"/>
    <w:rsid w:val="002F226B"/>
    <w:rsid w:val="002F2C40"/>
    <w:rsid w:val="002F33CA"/>
    <w:rsid w:val="002F3D39"/>
    <w:rsid w:val="002F696D"/>
    <w:rsid w:val="002F758F"/>
    <w:rsid w:val="00301A83"/>
    <w:rsid w:val="00301BAB"/>
    <w:rsid w:val="003022E6"/>
    <w:rsid w:val="00302A39"/>
    <w:rsid w:val="00302DD3"/>
    <w:rsid w:val="00302E64"/>
    <w:rsid w:val="003039BF"/>
    <w:rsid w:val="00304C79"/>
    <w:rsid w:val="0030542C"/>
    <w:rsid w:val="00305ABF"/>
    <w:rsid w:val="00305E61"/>
    <w:rsid w:val="00306C02"/>
    <w:rsid w:val="00310522"/>
    <w:rsid w:val="00310529"/>
    <w:rsid w:val="00310DB9"/>
    <w:rsid w:val="00310EF0"/>
    <w:rsid w:val="00311382"/>
    <w:rsid w:val="00311D61"/>
    <w:rsid w:val="00311F10"/>
    <w:rsid w:val="0031217D"/>
    <w:rsid w:val="00312ABF"/>
    <w:rsid w:val="00313631"/>
    <w:rsid w:val="00313E2F"/>
    <w:rsid w:val="0031630B"/>
    <w:rsid w:val="00317186"/>
    <w:rsid w:val="00317B2A"/>
    <w:rsid w:val="0032173A"/>
    <w:rsid w:val="0032173C"/>
    <w:rsid w:val="003219A4"/>
    <w:rsid w:val="00321B08"/>
    <w:rsid w:val="003222BF"/>
    <w:rsid w:val="0032338A"/>
    <w:rsid w:val="00325050"/>
    <w:rsid w:val="00330683"/>
    <w:rsid w:val="0033085B"/>
    <w:rsid w:val="00330F12"/>
    <w:rsid w:val="0033111E"/>
    <w:rsid w:val="0033484E"/>
    <w:rsid w:val="00334995"/>
    <w:rsid w:val="00334A81"/>
    <w:rsid w:val="00334B10"/>
    <w:rsid w:val="00334BF0"/>
    <w:rsid w:val="00334D85"/>
    <w:rsid w:val="003353B7"/>
    <w:rsid w:val="00335B23"/>
    <w:rsid w:val="00335E6B"/>
    <w:rsid w:val="003402D1"/>
    <w:rsid w:val="00340BB9"/>
    <w:rsid w:val="00341866"/>
    <w:rsid w:val="003424C3"/>
    <w:rsid w:val="003429C8"/>
    <w:rsid w:val="003431A0"/>
    <w:rsid w:val="00343A09"/>
    <w:rsid w:val="003446F6"/>
    <w:rsid w:val="003447E1"/>
    <w:rsid w:val="003451DA"/>
    <w:rsid w:val="003458DF"/>
    <w:rsid w:val="00345D4A"/>
    <w:rsid w:val="00345F25"/>
    <w:rsid w:val="003469DB"/>
    <w:rsid w:val="00347F7B"/>
    <w:rsid w:val="003512DB"/>
    <w:rsid w:val="00351AFC"/>
    <w:rsid w:val="00351DE8"/>
    <w:rsid w:val="00353F7F"/>
    <w:rsid w:val="00354315"/>
    <w:rsid w:val="00354AA2"/>
    <w:rsid w:val="00355020"/>
    <w:rsid w:val="003557C0"/>
    <w:rsid w:val="00356080"/>
    <w:rsid w:val="00357632"/>
    <w:rsid w:val="0035783D"/>
    <w:rsid w:val="0036067C"/>
    <w:rsid w:val="003607BD"/>
    <w:rsid w:val="003616BF"/>
    <w:rsid w:val="00361B8E"/>
    <w:rsid w:val="00361E0A"/>
    <w:rsid w:val="003627F9"/>
    <w:rsid w:val="003631DD"/>
    <w:rsid w:val="00364F61"/>
    <w:rsid w:val="00364FC4"/>
    <w:rsid w:val="00366D92"/>
    <w:rsid w:val="00370670"/>
    <w:rsid w:val="00370F06"/>
    <w:rsid w:val="0037143F"/>
    <w:rsid w:val="00371877"/>
    <w:rsid w:val="0037275D"/>
    <w:rsid w:val="0037294A"/>
    <w:rsid w:val="00373B2A"/>
    <w:rsid w:val="0037415C"/>
    <w:rsid w:val="00374282"/>
    <w:rsid w:val="00374A30"/>
    <w:rsid w:val="00374BDC"/>
    <w:rsid w:val="00375292"/>
    <w:rsid w:val="0037567F"/>
    <w:rsid w:val="00376445"/>
    <w:rsid w:val="0037692B"/>
    <w:rsid w:val="00376AA2"/>
    <w:rsid w:val="00376C6E"/>
    <w:rsid w:val="00381385"/>
    <w:rsid w:val="003816F7"/>
    <w:rsid w:val="003826D4"/>
    <w:rsid w:val="00382CB6"/>
    <w:rsid w:val="00384505"/>
    <w:rsid w:val="00384640"/>
    <w:rsid w:val="00384FCB"/>
    <w:rsid w:val="00386078"/>
    <w:rsid w:val="00386E43"/>
    <w:rsid w:val="003877BF"/>
    <w:rsid w:val="00387929"/>
    <w:rsid w:val="00391233"/>
    <w:rsid w:val="0039190F"/>
    <w:rsid w:val="00392331"/>
    <w:rsid w:val="003934CF"/>
    <w:rsid w:val="003934D9"/>
    <w:rsid w:val="00395ED7"/>
    <w:rsid w:val="00397B99"/>
    <w:rsid w:val="00397FFD"/>
    <w:rsid w:val="003A0DB9"/>
    <w:rsid w:val="003A3028"/>
    <w:rsid w:val="003A37D8"/>
    <w:rsid w:val="003A3E98"/>
    <w:rsid w:val="003A569B"/>
    <w:rsid w:val="003A5C54"/>
    <w:rsid w:val="003A7449"/>
    <w:rsid w:val="003B169F"/>
    <w:rsid w:val="003B2EE1"/>
    <w:rsid w:val="003B3E96"/>
    <w:rsid w:val="003B4975"/>
    <w:rsid w:val="003B5CD7"/>
    <w:rsid w:val="003B70B3"/>
    <w:rsid w:val="003B750E"/>
    <w:rsid w:val="003B7813"/>
    <w:rsid w:val="003B791D"/>
    <w:rsid w:val="003B7F73"/>
    <w:rsid w:val="003C003C"/>
    <w:rsid w:val="003C06DE"/>
    <w:rsid w:val="003C120F"/>
    <w:rsid w:val="003C15A3"/>
    <w:rsid w:val="003C2C5D"/>
    <w:rsid w:val="003C3B83"/>
    <w:rsid w:val="003C3CA8"/>
    <w:rsid w:val="003C45CD"/>
    <w:rsid w:val="003C5286"/>
    <w:rsid w:val="003C5E23"/>
    <w:rsid w:val="003C68BF"/>
    <w:rsid w:val="003C765B"/>
    <w:rsid w:val="003C772F"/>
    <w:rsid w:val="003D211D"/>
    <w:rsid w:val="003D2215"/>
    <w:rsid w:val="003D3438"/>
    <w:rsid w:val="003D4300"/>
    <w:rsid w:val="003D5113"/>
    <w:rsid w:val="003D5CCD"/>
    <w:rsid w:val="003D6827"/>
    <w:rsid w:val="003D709A"/>
    <w:rsid w:val="003E1A6B"/>
    <w:rsid w:val="003E3D35"/>
    <w:rsid w:val="003E3F9A"/>
    <w:rsid w:val="003E412C"/>
    <w:rsid w:val="003E48A1"/>
    <w:rsid w:val="003E5909"/>
    <w:rsid w:val="003E5957"/>
    <w:rsid w:val="003E5CF0"/>
    <w:rsid w:val="003E62C5"/>
    <w:rsid w:val="003E69B1"/>
    <w:rsid w:val="003E6CFD"/>
    <w:rsid w:val="003E6FC8"/>
    <w:rsid w:val="003E7CE0"/>
    <w:rsid w:val="003E7EAC"/>
    <w:rsid w:val="003F0500"/>
    <w:rsid w:val="003F0BE5"/>
    <w:rsid w:val="003F15C3"/>
    <w:rsid w:val="003F17CD"/>
    <w:rsid w:val="003F17D6"/>
    <w:rsid w:val="003F1D4A"/>
    <w:rsid w:val="003F2045"/>
    <w:rsid w:val="003F2486"/>
    <w:rsid w:val="003F2BBA"/>
    <w:rsid w:val="003F2DD2"/>
    <w:rsid w:val="003F3826"/>
    <w:rsid w:val="003F386C"/>
    <w:rsid w:val="003F38D0"/>
    <w:rsid w:val="003F3B4D"/>
    <w:rsid w:val="003F46FD"/>
    <w:rsid w:val="003F495F"/>
    <w:rsid w:val="003F4DE8"/>
    <w:rsid w:val="003F5335"/>
    <w:rsid w:val="003F7955"/>
    <w:rsid w:val="00400123"/>
    <w:rsid w:val="00400D38"/>
    <w:rsid w:val="00400D81"/>
    <w:rsid w:val="00400F03"/>
    <w:rsid w:val="0040152E"/>
    <w:rsid w:val="00401D8B"/>
    <w:rsid w:val="00402019"/>
    <w:rsid w:val="00402213"/>
    <w:rsid w:val="00402817"/>
    <w:rsid w:val="004028AE"/>
    <w:rsid w:val="00402FB6"/>
    <w:rsid w:val="0040347C"/>
    <w:rsid w:val="00403940"/>
    <w:rsid w:val="00404B65"/>
    <w:rsid w:val="00404EC2"/>
    <w:rsid w:val="00405C12"/>
    <w:rsid w:val="00405CF5"/>
    <w:rsid w:val="00405FDA"/>
    <w:rsid w:val="00410B45"/>
    <w:rsid w:val="00410D60"/>
    <w:rsid w:val="00412719"/>
    <w:rsid w:val="00412A52"/>
    <w:rsid w:val="00414668"/>
    <w:rsid w:val="00414CA9"/>
    <w:rsid w:val="004156C7"/>
    <w:rsid w:val="00416CDF"/>
    <w:rsid w:val="00417111"/>
    <w:rsid w:val="004175C8"/>
    <w:rsid w:val="00420FAF"/>
    <w:rsid w:val="00422120"/>
    <w:rsid w:val="0042388F"/>
    <w:rsid w:val="004243AE"/>
    <w:rsid w:val="00425A2E"/>
    <w:rsid w:val="00427CDB"/>
    <w:rsid w:val="0043056F"/>
    <w:rsid w:val="00430CE6"/>
    <w:rsid w:val="004311A8"/>
    <w:rsid w:val="004317BC"/>
    <w:rsid w:val="0043294B"/>
    <w:rsid w:val="0043322F"/>
    <w:rsid w:val="00435E66"/>
    <w:rsid w:val="00436EA1"/>
    <w:rsid w:val="0043755F"/>
    <w:rsid w:val="004404E8"/>
    <w:rsid w:val="004405D2"/>
    <w:rsid w:val="004407AA"/>
    <w:rsid w:val="0044150D"/>
    <w:rsid w:val="00441F89"/>
    <w:rsid w:val="004426D3"/>
    <w:rsid w:val="00443ABA"/>
    <w:rsid w:val="004446E5"/>
    <w:rsid w:val="00444F84"/>
    <w:rsid w:val="00445950"/>
    <w:rsid w:val="0044596A"/>
    <w:rsid w:val="0045022E"/>
    <w:rsid w:val="004508E2"/>
    <w:rsid w:val="00450A17"/>
    <w:rsid w:val="00450CB2"/>
    <w:rsid w:val="00451B10"/>
    <w:rsid w:val="00451E9D"/>
    <w:rsid w:val="00453524"/>
    <w:rsid w:val="00453C23"/>
    <w:rsid w:val="00454BBE"/>
    <w:rsid w:val="00456526"/>
    <w:rsid w:val="004571B9"/>
    <w:rsid w:val="004574F9"/>
    <w:rsid w:val="00460040"/>
    <w:rsid w:val="0046035D"/>
    <w:rsid w:val="0046038A"/>
    <w:rsid w:val="00460593"/>
    <w:rsid w:val="00461712"/>
    <w:rsid w:val="00461E9D"/>
    <w:rsid w:val="0046240A"/>
    <w:rsid w:val="00462432"/>
    <w:rsid w:val="00462EFC"/>
    <w:rsid w:val="00463A8A"/>
    <w:rsid w:val="00463A8D"/>
    <w:rsid w:val="0046488C"/>
    <w:rsid w:val="00465CF5"/>
    <w:rsid w:val="00466527"/>
    <w:rsid w:val="00466C36"/>
    <w:rsid w:val="00467587"/>
    <w:rsid w:val="0046760A"/>
    <w:rsid w:val="00470637"/>
    <w:rsid w:val="004706F3"/>
    <w:rsid w:val="00470D7B"/>
    <w:rsid w:val="0047108D"/>
    <w:rsid w:val="00471471"/>
    <w:rsid w:val="00472113"/>
    <w:rsid w:val="00472A9B"/>
    <w:rsid w:val="00472CB4"/>
    <w:rsid w:val="00472F36"/>
    <w:rsid w:val="00473555"/>
    <w:rsid w:val="0047386C"/>
    <w:rsid w:val="00474F39"/>
    <w:rsid w:val="00476258"/>
    <w:rsid w:val="00476C0B"/>
    <w:rsid w:val="00480C16"/>
    <w:rsid w:val="00481C30"/>
    <w:rsid w:val="00482CDE"/>
    <w:rsid w:val="004836E8"/>
    <w:rsid w:val="00483F66"/>
    <w:rsid w:val="004841AB"/>
    <w:rsid w:val="004842CE"/>
    <w:rsid w:val="00484771"/>
    <w:rsid w:val="00484AC1"/>
    <w:rsid w:val="00484BD8"/>
    <w:rsid w:val="00484BE6"/>
    <w:rsid w:val="0048582D"/>
    <w:rsid w:val="004861BB"/>
    <w:rsid w:val="0048671C"/>
    <w:rsid w:val="00486E7E"/>
    <w:rsid w:val="00487349"/>
    <w:rsid w:val="004873D6"/>
    <w:rsid w:val="00487A6A"/>
    <w:rsid w:val="00487B43"/>
    <w:rsid w:val="0049002E"/>
    <w:rsid w:val="004906F1"/>
    <w:rsid w:val="00490B7C"/>
    <w:rsid w:val="00490D68"/>
    <w:rsid w:val="00491295"/>
    <w:rsid w:val="0049251F"/>
    <w:rsid w:val="00492E26"/>
    <w:rsid w:val="00493F1B"/>
    <w:rsid w:val="00494128"/>
    <w:rsid w:val="004942E5"/>
    <w:rsid w:val="00494A8C"/>
    <w:rsid w:val="00495512"/>
    <w:rsid w:val="00495EA9"/>
    <w:rsid w:val="004968AC"/>
    <w:rsid w:val="00497C2F"/>
    <w:rsid w:val="004A04D1"/>
    <w:rsid w:val="004A1918"/>
    <w:rsid w:val="004A2436"/>
    <w:rsid w:val="004A2638"/>
    <w:rsid w:val="004A3069"/>
    <w:rsid w:val="004A3075"/>
    <w:rsid w:val="004A3D45"/>
    <w:rsid w:val="004A5221"/>
    <w:rsid w:val="004A6C30"/>
    <w:rsid w:val="004A6D86"/>
    <w:rsid w:val="004A6E46"/>
    <w:rsid w:val="004A775A"/>
    <w:rsid w:val="004A77C8"/>
    <w:rsid w:val="004A7D59"/>
    <w:rsid w:val="004B191B"/>
    <w:rsid w:val="004B2BDD"/>
    <w:rsid w:val="004B3037"/>
    <w:rsid w:val="004B32A5"/>
    <w:rsid w:val="004B33C8"/>
    <w:rsid w:val="004B4C49"/>
    <w:rsid w:val="004B5592"/>
    <w:rsid w:val="004B60FE"/>
    <w:rsid w:val="004B651D"/>
    <w:rsid w:val="004B6DA0"/>
    <w:rsid w:val="004B7F95"/>
    <w:rsid w:val="004C0472"/>
    <w:rsid w:val="004C1EF4"/>
    <w:rsid w:val="004C225F"/>
    <w:rsid w:val="004C2AF9"/>
    <w:rsid w:val="004C3B8E"/>
    <w:rsid w:val="004C556F"/>
    <w:rsid w:val="004C5D1A"/>
    <w:rsid w:val="004C6016"/>
    <w:rsid w:val="004D0BFA"/>
    <w:rsid w:val="004D1573"/>
    <w:rsid w:val="004D1B8F"/>
    <w:rsid w:val="004D29E7"/>
    <w:rsid w:val="004D2C9F"/>
    <w:rsid w:val="004D319F"/>
    <w:rsid w:val="004D4821"/>
    <w:rsid w:val="004D54AD"/>
    <w:rsid w:val="004D79D3"/>
    <w:rsid w:val="004E0DA3"/>
    <w:rsid w:val="004E1462"/>
    <w:rsid w:val="004E15FE"/>
    <w:rsid w:val="004E1CD1"/>
    <w:rsid w:val="004E22E7"/>
    <w:rsid w:val="004E271C"/>
    <w:rsid w:val="004E2C9C"/>
    <w:rsid w:val="004E400C"/>
    <w:rsid w:val="004E4833"/>
    <w:rsid w:val="004E5194"/>
    <w:rsid w:val="004E5C53"/>
    <w:rsid w:val="004E7610"/>
    <w:rsid w:val="004F00EA"/>
    <w:rsid w:val="004F022D"/>
    <w:rsid w:val="004F0372"/>
    <w:rsid w:val="004F0477"/>
    <w:rsid w:val="004F0C22"/>
    <w:rsid w:val="004F0FF9"/>
    <w:rsid w:val="004F1014"/>
    <w:rsid w:val="004F2787"/>
    <w:rsid w:val="004F29EA"/>
    <w:rsid w:val="004F3311"/>
    <w:rsid w:val="004F3451"/>
    <w:rsid w:val="004F41E4"/>
    <w:rsid w:val="004F4E04"/>
    <w:rsid w:val="004F532A"/>
    <w:rsid w:val="004F5497"/>
    <w:rsid w:val="004F6460"/>
    <w:rsid w:val="004F6742"/>
    <w:rsid w:val="004F6896"/>
    <w:rsid w:val="004F6CF9"/>
    <w:rsid w:val="004F6D10"/>
    <w:rsid w:val="00500905"/>
    <w:rsid w:val="00501D9A"/>
    <w:rsid w:val="00501F8A"/>
    <w:rsid w:val="0050345E"/>
    <w:rsid w:val="0050487D"/>
    <w:rsid w:val="00505461"/>
    <w:rsid w:val="0050546C"/>
    <w:rsid w:val="0050552F"/>
    <w:rsid w:val="00505EDE"/>
    <w:rsid w:val="00505F2C"/>
    <w:rsid w:val="00506EB0"/>
    <w:rsid w:val="00506FEA"/>
    <w:rsid w:val="005073AE"/>
    <w:rsid w:val="0050794F"/>
    <w:rsid w:val="005079D6"/>
    <w:rsid w:val="00507F4B"/>
    <w:rsid w:val="00510951"/>
    <w:rsid w:val="0051359D"/>
    <w:rsid w:val="0051363E"/>
    <w:rsid w:val="00513C44"/>
    <w:rsid w:val="00513EE7"/>
    <w:rsid w:val="00514CF6"/>
    <w:rsid w:val="00514D41"/>
    <w:rsid w:val="005168B4"/>
    <w:rsid w:val="00517C35"/>
    <w:rsid w:val="0052400B"/>
    <w:rsid w:val="00526823"/>
    <w:rsid w:val="00526FA9"/>
    <w:rsid w:val="00527326"/>
    <w:rsid w:val="00527679"/>
    <w:rsid w:val="00527B30"/>
    <w:rsid w:val="00530753"/>
    <w:rsid w:val="00530EE2"/>
    <w:rsid w:val="005319DE"/>
    <w:rsid w:val="0053379D"/>
    <w:rsid w:val="0053426F"/>
    <w:rsid w:val="00535193"/>
    <w:rsid w:val="00535EEC"/>
    <w:rsid w:val="00535FB0"/>
    <w:rsid w:val="00536B22"/>
    <w:rsid w:val="00537A04"/>
    <w:rsid w:val="005402BC"/>
    <w:rsid w:val="00543216"/>
    <w:rsid w:val="0054388B"/>
    <w:rsid w:val="00543FF6"/>
    <w:rsid w:val="005440C3"/>
    <w:rsid w:val="00544CB7"/>
    <w:rsid w:val="00545808"/>
    <w:rsid w:val="005459C4"/>
    <w:rsid w:val="005460D0"/>
    <w:rsid w:val="00547212"/>
    <w:rsid w:val="0055047D"/>
    <w:rsid w:val="0055179F"/>
    <w:rsid w:val="00551B9F"/>
    <w:rsid w:val="00551C41"/>
    <w:rsid w:val="0055374A"/>
    <w:rsid w:val="00553C89"/>
    <w:rsid w:val="00556F92"/>
    <w:rsid w:val="00557D66"/>
    <w:rsid w:val="00557F2F"/>
    <w:rsid w:val="00561F73"/>
    <w:rsid w:val="00564126"/>
    <w:rsid w:val="00564232"/>
    <w:rsid w:val="00564270"/>
    <w:rsid w:val="0056498D"/>
    <w:rsid w:val="00564B0B"/>
    <w:rsid w:val="00564F1E"/>
    <w:rsid w:val="00565903"/>
    <w:rsid w:val="005659EC"/>
    <w:rsid w:val="00565DA2"/>
    <w:rsid w:val="005663A8"/>
    <w:rsid w:val="00566526"/>
    <w:rsid w:val="00567EEE"/>
    <w:rsid w:val="00570D8D"/>
    <w:rsid w:val="005712BD"/>
    <w:rsid w:val="00571A72"/>
    <w:rsid w:val="00571CC7"/>
    <w:rsid w:val="0057203B"/>
    <w:rsid w:val="00575F65"/>
    <w:rsid w:val="0057725F"/>
    <w:rsid w:val="0057731C"/>
    <w:rsid w:val="00577757"/>
    <w:rsid w:val="00577A84"/>
    <w:rsid w:val="00577CF7"/>
    <w:rsid w:val="00577DE6"/>
    <w:rsid w:val="005808DA"/>
    <w:rsid w:val="0058095C"/>
    <w:rsid w:val="00583759"/>
    <w:rsid w:val="00584D85"/>
    <w:rsid w:val="00585BBC"/>
    <w:rsid w:val="00593398"/>
    <w:rsid w:val="005959ED"/>
    <w:rsid w:val="00596AA4"/>
    <w:rsid w:val="00597635"/>
    <w:rsid w:val="00597F96"/>
    <w:rsid w:val="005A0DF6"/>
    <w:rsid w:val="005A0EAE"/>
    <w:rsid w:val="005A1319"/>
    <w:rsid w:val="005A1935"/>
    <w:rsid w:val="005A1E63"/>
    <w:rsid w:val="005A22CD"/>
    <w:rsid w:val="005A329D"/>
    <w:rsid w:val="005A3700"/>
    <w:rsid w:val="005A5FB5"/>
    <w:rsid w:val="005A6D18"/>
    <w:rsid w:val="005A7DFC"/>
    <w:rsid w:val="005B053E"/>
    <w:rsid w:val="005B0563"/>
    <w:rsid w:val="005B0890"/>
    <w:rsid w:val="005B0E0E"/>
    <w:rsid w:val="005B1AF1"/>
    <w:rsid w:val="005B20BB"/>
    <w:rsid w:val="005B2765"/>
    <w:rsid w:val="005B2A6E"/>
    <w:rsid w:val="005B369C"/>
    <w:rsid w:val="005B3AEC"/>
    <w:rsid w:val="005B40AD"/>
    <w:rsid w:val="005B4F24"/>
    <w:rsid w:val="005B4FEB"/>
    <w:rsid w:val="005B780A"/>
    <w:rsid w:val="005B781B"/>
    <w:rsid w:val="005B7A10"/>
    <w:rsid w:val="005C1EFD"/>
    <w:rsid w:val="005C3860"/>
    <w:rsid w:val="005C3B83"/>
    <w:rsid w:val="005C3BDA"/>
    <w:rsid w:val="005C3CBB"/>
    <w:rsid w:val="005C3E64"/>
    <w:rsid w:val="005C6927"/>
    <w:rsid w:val="005C6ADE"/>
    <w:rsid w:val="005C7A43"/>
    <w:rsid w:val="005D0973"/>
    <w:rsid w:val="005D0A1F"/>
    <w:rsid w:val="005D0E72"/>
    <w:rsid w:val="005D1099"/>
    <w:rsid w:val="005D2BD5"/>
    <w:rsid w:val="005D3714"/>
    <w:rsid w:val="005D3B5B"/>
    <w:rsid w:val="005D3F95"/>
    <w:rsid w:val="005D406B"/>
    <w:rsid w:val="005D4085"/>
    <w:rsid w:val="005D505E"/>
    <w:rsid w:val="005D5F89"/>
    <w:rsid w:val="005D604F"/>
    <w:rsid w:val="005D6526"/>
    <w:rsid w:val="005D6A0B"/>
    <w:rsid w:val="005D6F65"/>
    <w:rsid w:val="005D74AB"/>
    <w:rsid w:val="005E0049"/>
    <w:rsid w:val="005E0683"/>
    <w:rsid w:val="005E11E2"/>
    <w:rsid w:val="005E13A4"/>
    <w:rsid w:val="005E3A78"/>
    <w:rsid w:val="005E3BAB"/>
    <w:rsid w:val="005E55F3"/>
    <w:rsid w:val="005E60C3"/>
    <w:rsid w:val="005E6AE9"/>
    <w:rsid w:val="005E723A"/>
    <w:rsid w:val="005E72F9"/>
    <w:rsid w:val="005F0066"/>
    <w:rsid w:val="005F153E"/>
    <w:rsid w:val="005F2FB0"/>
    <w:rsid w:val="005F4596"/>
    <w:rsid w:val="005F4E56"/>
    <w:rsid w:val="005F614F"/>
    <w:rsid w:val="005F63F3"/>
    <w:rsid w:val="005F6C6D"/>
    <w:rsid w:val="005F6EFF"/>
    <w:rsid w:val="00602750"/>
    <w:rsid w:val="00603005"/>
    <w:rsid w:val="006044FA"/>
    <w:rsid w:val="00604C4C"/>
    <w:rsid w:val="00604C66"/>
    <w:rsid w:val="00605E7E"/>
    <w:rsid w:val="00606E0A"/>
    <w:rsid w:val="00610FF9"/>
    <w:rsid w:val="006127C0"/>
    <w:rsid w:val="0061287E"/>
    <w:rsid w:val="00612A8B"/>
    <w:rsid w:val="00613DAF"/>
    <w:rsid w:val="006147BF"/>
    <w:rsid w:val="00615EC3"/>
    <w:rsid w:val="00615FFB"/>
    <w:rsid w:val="00616622"/>
    <w:rsid w:val="00620226"/>
    <w:rsid w:val="00620AAE"/>
    <w:rsid w:val="006220F3"/>
    <w:rsid w:val="006222D1"/>
    <w:rsid w:val="00624C7D"/>
    <w:rsid w:val="00624DBE"/>
    <w:rsid w:val="00625D23"/>
    <w:rsid w:val="00626BB2"/>
    <w:rsid w:val="00626FCE"/>
    <w:rsid w:val="0062795E"/>
    <w:rsid w:val="006301ED"/>
    <w:rsid w:val="00630C32"/>
    <w:rsid w:val="0063112D"/>
    <w:rsid w:val="006313ED"/>
    <w:rsid w:val="006314F3"/>
    <w:rsid w:val="0063211C"/>
    <w:rsid w:val="00632FC6"/>
    <w:rsid w:val="00633C6B"/>
    <w:rsid w:val="00634521"/>
    <w:rsid w:val="00634CF4"/>
    <w:rsid w:val="00635B4F"/>
    <w:rsid w:val="00640592"/>
    <w:rsid w:val="006409BE"/>
    <w:rsid w:val="00641404"/>
    <w:rsid w:val="0064203B"/>
    <w:rsid w:val="00642D30"/>
    <w:rsid w:val="00644FBE"/>
    <w:rsid w:val="00646677"/>
    <w:rsid w:val="0064766D"/>
    <w:rsid w:val="00647911"/>
    <w:rsid w:val="006500DA"/>
    <w:rsid w:val="0065077E"/>
    <w:rsid w:val="00650D72"/>
    <w:rsid w:val="00651DF8"/>
    <w:rsid w:val="00653870"/>
    <w:rsid w:val="006545E3"/>
    <w:rsid w:val="00655C64"/>
    <w:rsid w:val="00655C98"/>
    <w:rsid w:val="00655EB7"/>
    <w:rsid w:val="00655F4E"/>
    <w:rsid w:val="00656F6A"/>
    <w:rsid w:val="00657A63"/>
    <w:rsid w:val="00660916"/>
    <w:rsid w:val="006619BC"/>
    <w:rsid w:val="006643A9"/>
    <w:rsid w:val="00665107"/>
    <w:rsid w:val="00666071"/>
    <w:rsid w:val="006662ED"/>
    <w:rsid w:val="0066672A"/>
    <w:rsid w:val="00667765"/>
    <w:rsid w:val="00670ABB"/>
    <w:rsid w:val="00670AF4"/>
    <w:rsid w:val="00672407"/>
    <w:rsid w:val="00673130"/>
    <w:rsid w:val="00673905"/>
    <w:rsid w:val="0067394A"/>
    <w:rsid w:val="00674004"/>
    <w:rsid w:val="006749C6"/>
    <w:rsid w:val="00674B6E"/>
    <w:rsid w:val="006751E2"/>
    <w:rsid w:val="00675AE8"/>
    <w:rsid w:val="006762F2"/>
    <w:rsid w:val="0067675B"/>
    <w:rsid w:val="00676B1C"/>
    <w:rsid w:val="00676D76"/>
    <w:rsid w:val="00680F11"/>
    <w:rsid w:val="00681256"/>
    <w:rsid w:val="00682CC1"/>
    <w:rsid w:val="0068349F"/>
    <w:rsid w:val="006840AC"/>
    <w:rsid w:val="00685216"/>
    <w:rsid w:val="00686435"/>
    <w:rsid w:val="0068654D"/>
    <w:rsid w:val="006866F0"/>
    <w:rsid w:val="00686C9F"/>
    <w:rsid w:val="006871BE"/>
    <w:rsid w:val="00691F11"/>
    <w:rsid w:val="006924A6"/>
    <w:rsid w:val="00693B3B"/>
    <w:rsid w:val="00694942"/>
    <w:rsid w:val="00694C9B"/>
    <w:rsid w:val="006951B8"/>
    <w:rsid w:val="00695C58"/>
    <w:rsid w:val="00696F06"/>
    <w:rsid w:val="006A09A0"/>
    <w:rsid w:val="006A15CC"/>
    <w:rsid w:val="006A2329"/>
    <w:rsid w:val="006A38D1"/>
    <w:rsid w:val="006A3BF6"/>
    <w:rsid w:val="006A3C8F"/>
    <w:rsid w:val="006A3DB1"/>
    <w:rsid w:val="006A4F24"/>
    <w:rsid w:val="006A5072"/>
    <w:rsid w:val="006A56B9"/>
    <w:rsid w:val="006A60FC"/>
    <w:rsid w:val="006A61F4"/>
    <w:rsid w:val="006A6905"/>
    <w:rsid w:val="006A6BC2"/>
    <w:rsid w:val="006A794C"/>
    <w:rsid w:val="006B1459"/>
    <w:rsid w:val="006B1CBC"/>
    <w:rsid w:val="006B2194"/>
    <w:rsid w:val="006B328F"/>
    <w:rsid w:val="006B63EA"/>
    <w:rsid w:val="006B6783"/>
    <w:rsid w:val="006B6BBC"/>
    <w:rsid w:val="006B7AE0"/>
    <w:rsid w:val="006C0AD2"/>
    <w:rsid w:val="006C2778"/>
    <w:rsid w:val="006C299D"/>
    <w:rsid w:val="006C2E6C"/>
    <w:rsid w:val="006C4908"/>
    <w:rsid w:val="006C4A69"/>
    <w:rsid w:val="006C5035"/>
    <w:rsid w:val="006C5381"/>
    <w:rsid w:val="006C5AF0"/>
    <w:rsid w:val="006C7469"/>
    <w:rsid w:val="006C7872"/>
    <w:rsid w:val="006D01D4"/>
    <w:rsid w:val="006D0C00"/>
    <w:rsid w:val="006D20F4"/>
    <w:rsid w:val="006D249A"/>
    <w:rsid w:val="006D42E5"/>
    <w:rsid w:val="006D4BD7"/>
    <w:rsid w:val="006D5150"/>
    <w:rsid w:val="006D5792"/>
    <w:rsid w:val="006D5FDF"/>
    <w:rsid w:val="006D692F"/>
    <w:rsid w:val="006D69BE"/>
    <w:rsid w:val="006D6D4C"/>
    <w:rsid w:val="006D7261"/>
    <w:rsid w:val="006D792A"/>
    <w:rsid w:val="006E21B7"/>
    <w:rsid w:val="006E3073"/>
    <w:rsid w:val="006E53A9"/>
    <w:rsid w:val="006E5829"/>
    <w:rsid w:val="006E586C"/>
    <w:rsid w:val="006E7232"/>
    <w:rsid w:val="006F0890"/>
    <w:rsid w:val="006F0DCF"/>
    <w:rsid w:val="006F17F8"/>
    <w:rsid w:val="006F215B"/>
    <w:rsid w:val="006F25AA"/>
    <w:rsid w:val="006F394A"/>
    <w:rsid w:val="006F414D"/>
    <w:rsid w:val="006F425D"/>
    <w:rsid w:val="006F488F"/>
    <w:rsid w:val="006F4A85"/>
    <w:rsid w:val="006F6E16"/>
    <w:rsid w:val="006F71B5"/>
    <w:rsid w:val="00700DFE"/>
    <w:rsid w:val="00701ECC"/>
    <w:rsid w:val="00702942"/>
    <w:rsid w:val="0070390F"/>
    <w:rsid w:val="00703F01"/>
    <w:rsid w:val="00704087"/>
    <w:rsid w:val="007045F7"/>
    <w:rsid w:val="007047C6"/>
    <w:rsid w:val="00705144"/>
    <w:rsid w:val="00705947"/>
    <w:rsid w:val="0070746C"/>
    <w:rsid w:val="00710B78"/>
    <w:rsid w:val="00710CCA"/>
    <w:rsid w:val="0071325D"/>
    <w:rsid w:val="0071438E"/>
    <w:rsid w:val="00715CCF"/>
    <w:rsid w:val="00717773"/>
    <w:rsid w:val="00720432"/>
    <w:rsid w:val="00724055"/>
    <w:rsid w:val="00724426"/>
    <w:rsid w:val="007256C1"/>
    <w:rsid w:val="00725C23"/>
    <w:rsid w:val="007261FD"/>
    <w:rsid w:val="007263B2"/>
    <w:rsid w:val="0072685E"/>
    <w:rsid w:val="007269CC"/>
    <w:rsid w:val="00726A26"/>
    <w:rsid w:val="00726B58"/>
    <w:rsid w:val="00727005"/>
    <w:rsid w:val="00727008"/>
    <w:rsid w:val="007302B6"/>
    <w:rsid w:val="0073190D"/>
    <w:rsid w:val="00732006"/>
    <w:rsid w:val="0073263E"/>
    <w:rsid w:val="00734C4C"/>
    <w:rsid w:val="00734F56"/>
    <w:rsid w:val="0073530A"/>
    <w:rsid w:val="00735490"/>
    <w:rsid w:val="0074151E"/>
    <w:rsid w:val="00741828"/>
    <w:rsid w:val="00742400"/>
    <w:rsid w:val="00742CF2"/>
    <w:rsid w:val="00742E07"/>
    <w:rsid w:val="007431AC"/>
    <w:rsid w:val="0074328A"/>
    <w:rsid w:val="007433EF"/>
    <w:rsid w:val="00743439"/>
    <w:rsid w:val="00743E15"/>
    <w:rsid w:val="0074524E"/>
    <w:rsid w:val="007465DD"/>
    <w:rsid w:val="00750063"/>
    <w:rsid w:val="007518BD"/>
    <w:rsid w:val="00751AB4"/>
    <w:rsid w:val="0075235D"/>
    <w:rsid w:val="00752429"/>
    <w:rsid w:val="00753EAA"/>
    <w:rsid w:val="00754642"/>
    <w:rsid w:val="00754834"/>
    <w:rsid w:val="007576D3"/>
    <w:rsid w:val="00760250"/>
    <w:rsid w:val="00761FD4"/>
    <w:rsid w:val="007621E8"/>
    <w:rsid w:val="00763031"/>
    <w:rsid w:val="00763455"/>
    <w:rsid w:val="00763AFA"/>
    <w:rsid w:val="00764BDA"/>
    <w:rsid w:val="0076558B"/>
    <w:rsid w:val="00765B6C"/>
    <w:rsid w:val="00766506"/>
    <w:rsid w:val="00766FA2"/>
    <w:rsid w:val="00767A4E"/>
    <w:rsid w:val="00767AC5"/>
    <w:rsid w:val="00767BE7"/>
    <w:rsid w:val="007701B7"/>
    <w:rsid w:val="007703C6"/>
    <w:rsid w:val="00771304"/>
    <w:rsid w:val="00771736"/>
    <w:rsid w:val="0077280C"/>
    <w:rsid w:val="00773008"/>
    <w:rsid w:val="007762EC"/>
    <w:rsid w:val="00776419"/>
    <w:rsid w:val="007772D4"/>
    <w:rsid w:val="00777F8D"/>
    <w:rsid w:val="00780734"/>
    <w:rsid w:val="00780CF8"/>
    <w:rsid w:val="007815C4"/>
    <w:rsid w:val="0078298D"/>
    <w:rsid w:val="00784942"/>
    <w:rsid w:val="00785297"/>
    <w:rsid w:val="007852AB"/>
    <w:rsid w:val="00786186"/>
    <w:rsid w:val="00790A97"/>
    <w:rsid w:val="007919A9"/>
    <w:rsid w:val="00794402"/>
    <w:rsid w:val="00796AE6"/>
    <w:rsid w:val="00797760"/>
    <w:rsid w:val="007A2264"/>
    <w:rsid w:val="007A54D1"/>
    <w:rsid w:val="007A64B9"/>
    <w:rsid w:val="007A66CE"/>
    <w:rsid w:val="007A6E92"/>
    <w:rsid w:val="007A76E6"/>
    <w:rsid w:val="007A7979"/>
    <w:rsid w:val="007B0DBF"/>
    <w:rsid w:val="007B10A2"/>
    <w:rsid w:val="007B1A8F"/>
    <w:rsid w:val="007B1AB1"/>
    <w:rsid w:val="007B1C50"/>
    <w:rsid w:val="007B1D7E"/>
    <w:rsid w:val="007B2117"/>
    <w:rsid w:val="007B2605"/>
    <w:rsid w:val="007B347A"/>
    <w:rsid w:val="007B3533"/>
    <w:rsid w:val="007B40F1"/>
    <w:rsid w:val="007B5602"/>
    <w:rsid w:val="007B5F2E"/>
    <w:rsid w:val="007B6CC0"/>
    <w:rsid w:val="007B7C3D"/>
    <w:rsid w:val="007C1336"/>
    <w:rsid w:val="007C2145"/>
    <w:rsid w:val="007C2EBC"/>
    <w:rsid w:val="007C35E7"/>
    <w:rsid w:val="007C3D73"/>
    <w:rsid w:val="007C3EC2"/>
    <w:rsid w:val="007C4609"/>
    <w:rsid w:val="007C4955"/>
    <w:rsid w:val="007C50D8"/>
    <w:rsid w:val="007C57C7"/>
    <w:rsid w:val="007C6E8A"/>
    <w:rsid w:val="007C7167"/>
    <w:rsid w:val="007C7C4D"/>
    <w:rsid w:val="007C7CEF"/>
    <w:rsid w:val="007C7EC2"/>
    <w:rsid w:val="007D3AEE"/>
    <w:rsid w:val="007D3B5D"/>
    <w:rsid w:val="007D3CA2"/>
    <w:rsid w:val="007D4297"/>
    <w:rsid w:val="007D43CD"/>
    <w:rsid w:val="007D64A5"/>
    <w:rsid w:val="007D7326"/>
    <w:rsid w:val="007D79FD"/>
    <w:rsid w:val="007E03C0"/>
    <w:rsid w:val="007E0A82"/>
    <w:rsid w:val="007E140B"/>
    <w:rsid w:val="007E2EB9"/>
    <w:rsid w:val="007E31AC"/>
    <w:rsid w:val="007E37A9"/>
    <w:rsid w:val="007E3A71"/>
    <w:rsid w:val="007E3D37"/>
    <w:rsid w:val="007E5559"/>
    <w:rsid w:val="007E58FF"/>
    <w:rsid w:val="007E5913"/>
    <w:rsid w:val="007E5A6E"/>
    <w:rsid w:val="007E600B"/>
    <w:rsid w:val="007E715C"/>
    <w:rsid w:val="007E7878"/>
    <w:rsid w:val="007E7FB8"/>
    <w:rsid w:val="007F0337"/>
    <w:rsid w:val="007F080E"/>
    <w:rsid w:val="007F136A"/>
    <w:rsid w:val="007F13C0"/>
    <w:rsid w:val="007F3C21"/>
    <w:rsid w:val="007F430E"/>
    <w:rsid w:val="007F4B16"/>
    <w:rsid w:val="007F6846"/>
    <w:rsid w:val="007F70CA"/>
    <w:rsid w:val="007F7542"/>
    <w:rsid w:val="00802A93"/>
    <w:rsid w:val="00803D92"/>
    <w:rsid w:val="00805907"/>
    <w:rsid w:val="0080639A"/>
    <w:rsid w:val="008070F9"/>
    <w:rsid w:val="00810728"/>
    <w:rsid w:val="0081327D"/>
    <w:rsid w:val="00813689"/>
    <w:rsid w:val="008142B1"/>
    <w:rsid w:val="00814619"/>
    <w:rsid w:val="00814864"/>
    <w:rsid w:val="00814C73"/>
    <w:rsid w:val="00815502"/>
    <w:rsid w:val="0081578C"/>
    <w:rsid w:val="00816E1D"/>
    <w:rsid w:val="008179DC"/>
    <w:rsid w:val="00817EB5"/>
    <w:rsid w:val="00820C43"/>
    <w:rsid w:val="008213B2"/>
    <w:rsid w:val="0082225C"/>
    <w:rsid w:val="008229A4"/>
    <w:rsid w:val="008229E1"/>
    <w:rsid w:val="008249A5"/>
    <w:rsid w:val="008253FD"/>
    <w:rsid w:val="00825EC4"/>
    <w:rsid w:val="00826F79"/>
    <w:rsid w:val="0082716A"/>
    <w:rsid w:val="00827379"/>
    <w:rsid w:val="0082773E"/>
    <w:rsid w:val="00830455"/>
    <w:rsid w:val="00831095"/>
    <w:rsid w:val="00831EB9"/>
    <w:rsid w:val="008339ED"/>
    <w:rsid w:val="00833B9D"/>
    <w:rsid w:val="00834F1B"/>
    <w:rsid w:val="008359AD"/>
    <w:rsid w:val="00836540"/>
    <w:rsid w:val="00837280"/>
    <w:rsid w:val="00837419"/>
    <w:rsid w:val="008418E0"/>
    <w:rsid w:val="0084210A"/>
    <w:rsid w:val="00842795"/>
    <w:rsid w:val="00843481"/>
    <w:rsid w:val="00843AB0"/>
    <w:rsid w:val="00844220"/>
    <w:rsid w:val="008453C1"/>
    <w:rsid w:val="00845CB6"/>
    <w:rsid w:val="008461D3"/>
    <w:rsid w:val="00846911"/>
    <w:rsid w:val="0084748F"/>
    <w:rsid w:val="008479BA"/>
    <w:rsid w:val="00847A8B"/>
    <w:rsid w:val="008504AE"/>
    <w:rsid w:val="00851346"/>
    <w:rsid w:val="00851611"/>
    <w:rsid w:val="00852480"/>
    <w:rsid w:val="00852C87"/>
    <w:rsid w:val="00853BC4"/>
    <w:rsid w:val="0085526B"/>
    <w:rsid w:val="008559E1"/>
    <w:rsid w:val="00856140"/>
    <w:rsid w:val="00856325"/>
    <w:rsid w:val="0085655B"/>
    <w:rsid w:val="00857E84"/>
    <w:rsid w:val="008602F4"/>
    <w:rsid w:val="008605FA"/>
    <w:rsid w:val="008610DC"/>
    <w:rsid w:val="008610FE"/>
    <w:rsid w:val="00861355"/>
    <w:rsid w:val="00861647"/>
    <w:rsid w:val="00861AA8"/>
    <w:rsid w:val="00861F80"/>
    <w:rsid w:val="00864AD6"/>
    <w:rsid w:val="00864FAD"/>
    <w:rsid w:val="008657F9"/>
    <w:rsid w:val="008704ED"/>
    <w:rsid w:val="008707EE"/>
    <w:rsid w:val="00870F09"/>
    <w:rsid w:val="00872759"/>
    <w:rsid w:val="00873008"/>
    <w:rsid w:val="008742F8"/>
    <w:rsid w:val="0087436B"/>
    <w:rsid w:val="008745C5"/>
    <w:rsid w:val="00876410"/>
    <w:rsid w:val="008775AC"/>
    <w:rsid w:val="00877956"/>
    <w:rsid w:val="00877AEA"/>
    <w:rsid w:val="00877E8B"/>
    <w:rsid w:val="008808FD"/>
    <w:rsid w:val="00880BE0"/>
    <w:rsid w:val="0088114A"/>
    <w:rsid w:val="00881A95"/>
    <w:rsid w:val="0088221D"/>
    <w:rsid w:val="00882259"/>
    <w:rsid w:val="00882AC5"/>
    <w:rsid w:val="00883D32"/>
    <w:rsid w:val="00886099"/>
    <w:rsid w:val="00886148"/>
    <w:rsid w:val="00887722"/>
    <w:rsid w:val="00887D52"/>
    <w:rsid w:val="00891362"/>
    <w:rsid w:val="008914D8"/>
    <w:rsid w:val="00891F16"/>
    <w:rsid w:val="00892B2C"/>
    <w:rsid w:val="00893CCB"/>
    <w:rsid w:val="0089450F"/>
    <w:rsid w:val="00894606"/>
    <w:rsid w:val="008975E4"/>
    <w:rsid w:val="00897635"/>
    <w:rsid w:val="00897EFD"/>
    <w:rsid w:val="008A07DD"/>
    <w:rsid w:val="008A08C7"/>
    <w:rsid w:val="008A0BB1"/>
    <w:rsid w:val="008A12E8"/>
    <w:rsid w:val="008A14CC"/>
    <w:rsid w:val="008A15FB"/>
    <w:rsid w:val="008A1FD0"/>
    <w:rsid w:val="008A224E"/>
    <w:rsid w:val="008A326F"/>
    <w:rsid w:val="008A3882"/>
    <w:rsid w:val="008A439F"/>
    <w:rsid w:val="008A4437"/>
    <w:rsid w:val="008A4927"/>
    <w:rsid w:val="008A4C06"/>
    <w:rsid w:val="008A4DA8"/>
    <w:rsid w:val="008A5CA1"/>
    <w:rsid w:val="008A61C6"/>
    <w:rsid w:val="008A6B62"/>
    <w:rsid w:val="008A746A"/>
    <w:rsid w:val="008A74D7"/>
    <w:rsid w:val="008A7C52"/>
    <w:rsid w:val="008B0926"/>
    <w:rsid w:val="008B28CE"/>
    <w:rsid w:val="008B2DBE"/>
    <w:rsid w:val="008B31DB"/>
    <w:rsid w:val="008B5670"/>
    <w:rsid w:val="008B5EBD"/>
    <w:rsid w:val="008B63CE"/>
    <w:rsid w:val="008B6804"/>
    <w:rsid w:val="008C005F"/>
    <w:rsid w:val="008C10C5"/>
    <w:rsid w:val="008C13CE"/>
    <w:rsid w:val="008C172B"/>
    <w:rsid w:val="008C267D"/>
    <w:rsid w:val="008C2FBF"/>
    <w:rsid w:val="008C44D7"/>
    <w:rsid w:val="008C562E"/>
    <w:rsid w:val="008C66C3"/>
    <w:rsid w:val="008C6B28"/>
    <w:rsid w:val="008C7400"/>
    <w:rsid w:val="008C778C"/>
    <w:rsid w:val="008D0308"/>
    <w:rsid w:val="008D111C"/>
    <w:rsid w:val="008D192E"/>
    <w:rsid w:val="008D332E"/>
    <w:rsid w:val="008D3E62"/>
    <w:rsid w:val="008D446B"/>
    <w:rsid w:val="008D7605"/>
    <w:rsid w:val="008D7A7A"/>
    <w:rsid w:val="008E076B"/>
    <w:rsid w:val="008E17D6"/>
    <w:rsid w:val="008E2033"/>
    <w:rsid w:val="008E23D3"/>
    <w:rsid w:val="008E272A"/>
    <w:rsid w:val="008E2B2A"/>
    <w:rsid w:val="008E2EEE"/>
    <w:rsid w:val="008E32D0"/>
    <w:rsid w:val="008E3446"/>
    <w:rsid w:val="008E351D"/>
    <w:rsid w:val="008E3797"/>
    <w:rsid w:val="008E3EA8"/>
    <w:rsid w:val="008E4F01"/>
    <w:rsid w:val="008E5B61"/>
    <w:rsid w:val="008E5DC0"/>
    <w:rsid w:val="008E6732"/>
    <w:rsid w:val="008E7765"/>
    <w:rsid w:val="008E7E81"/>
    <w:rsid w:val="008F00F4"/>
    <w:rsid w:val="008F08FE"/>
    <w:rsid w:val="008F2A7E"/>
    <w:rsid w:val="008F2FB7"/>
    <w:rsid w:val="008F3FD1"/>
    <w:rsid w:val="008F4D38"/>
    <w:rsid w:val="008F54C1"/>
    <w:rsid w:val="008F6A9D"/>
    <w:rsid w:val="008F7FE2"/>
    <w:rsid w:val="00900498"/>
    <w:rsid w:val="00900CA7"/>
    <w:rsid w:val="009017C7"/>
    <w:rsid w:val="00901B0E"/>
    <w:rsid w:val="009025F3"/>
    <w:rsid w:val="00904277"/>
    <w:rsid w:val="009054E5"/>
    <w:rsid w:val="00905645"/>
    <w:rsid w:val="00905DD3"/>
    <w:rsid w:val="009061CD"/>
    <w:rsid w:val="00906AC0"/>
    <w:rsid w:val="00906C6C"/>
    <w:rsid w:val="00907FE2"/>
    <w:rsid w:val="0091004F"/>
    <w:rsid w:val="00912103"/>
    <w:rsid w:val="0091303E"/>
    <w:rsid w:val="00913143"/>
    <w:rsid w:val="00913C8F"/>
    <w:rsid w:val="00915D7E"/>
    <w:rsid w:val="009167D9"/>
    <w:rsid w:val="00916B06"/>
    <w:rsid w:val="00917197"/>
    <w:rsid w:val="00920447"/>
    <w:rsid w:val="0092182D"/>
    <w:rsid w:val="0092305E"/>
    <w:rsid w:val="009232FA"/>
    <w:rsid w:val="009243CF"/>
    <w:rsid w:val="009244A9"/>
    <w:rsid w:val="00924B19"/>
    <w:rsid w:val="00924CE9"/>
    <w:rsid w:val="00925218"/>
    <w:rsid w:val="00925810"/>
    <w:rsid w:val="009265B4"/>
    <w:rsid w:val="00926CAC"/>
    <w:rsid w:val="00926DC4"/>
    <w:rsid w:val="009271CB"/>
    <w:rsid w:val="00927322"/>
    <w:rsid w:val="00927838"/>
    <w:rsid w:val="00930398"/>
    <w:rsid w:val="009303F7"/>
    <w:rsid w:val="00930ABE"/>
    <w:rsid w:val="0093111B"/>
    <w:rsid w:val="00931B73"/>
    <w:rsid w:val="00934AD1"/>
    <w:rsid w:val="00934B2A"/>
    <w:rsid w:val="00934BD1"/>
    <w:rsid w:val="009370CE"/>
    <w:rsid w:val="009371EC"/>
    <w:rsid w:val="00937AA6"/>
    <w:rsid w:val="00940FCB"/>
    <w:rsid w:val="00941D6E"/>
    <w:rsid w:val="009428D5"/>
    <w:rsid w:val="00942A7C"/>
    <w:rsid w:val="00942CB9"/>
    <w:rsid w:val="00943F72"/>
    <w:rsid w:val="00944002"/>
    <w:rsid w:val="00944344"/>
    <w:rsid w:val="009447DA"/>
    <w:rsid w:val="00946C86"/>
    <w:rsid w:val="00946E27"/>
    <w:rsid w:val="00946F9C"/>
    <w:rsid w:val="00947339"/>
    <w:rsid w:val="00947B43"/>
    <w:rsid w:val="0095030E"/>
    <w:rsid w:val="009508DB"/>
    <w:rsid w:val="0095226A"/>
    <w:rsid w:val="00952E84"/>
    <w:rsid w:val="00953C5E"/>
    <w:rsid w:val="00953CD9"/>
    <w:rsid w:val="00953F76"/>
    <w:rsid w:val="00954110"/>
    <w:rsid w:val="009553F8"/>
    <w:rsid w:val="009554B8"/>
    <w:rsid w:val="00956923"/>
    <w:rsid w:val="009572F8"/>
    <w:rsid w:val="0095747F"/>
    <w:rsid w:val="00957F8A"/>
    <w:rsid w:val="0096046F"/>
    <w:rsid w:val="009606AF"/>
    <w:rsid w:val="00960A6E"/>
    <w:rsid w:val="00960B62"/>
    <w:rsid w:val="0096151D"/>
    <w:rsid w:val="009615A2"/>
    <w:rsid w:val="009616CB"/>
    <w:rsid w:val="00961747"/>
    <w:rsid w:val="00962BD2"/>
    <w:rsid w:val="009630EE"/>
    <w:rsid w:val="0096525F"/>
    <w:rsid w:val="00965326"/>
    <w:rsid w:val="0096592D"/>
    <w:rsid w:val="00965957"/>
    <w:rsid w:val="009662C0"/>
    <w:rsid w:val="0097012E"/>
    <w:rsid w:val="00970516"/>
    <w:rsid w:val="00970589"/>
    <w:rsid w:val="00970787"/>
    <w:rsid w:val="009710DC"/>
    <w:rsid w:val="00971EA3"/>
    <w:rsid w:val="00972C7C"/>
    <w:rsid w:val="00972D18"/>
    <w:rsid w:val="009734C3"/>
    <w:rsid w:val="00973DA8"/>
    <w:rsid w:val="0097483B"/>
    <w:rsid w:val="00974D0B"/>
    <w:rsid w:val="0097507F"/>
    <w:rsid w:val="00975128"/>
    <w:rsid w:val="009764C7"/>
    <w:rsid w:val="0097671D"/>
    <w:rsid w:val="009776E7"/>
    <w:rsid w:val="009779AE"/>
    <w:rsid w:val="009806B1"/>
    <w:rsid w:val="00980E5C"/>
    <w:rsid w:val="00981661"/>
    <w:rsid w:val="00981A5A"/>
    <w:rsid w:val="00982514"/>
    <w:rsid w:val="009829F1"/>
    <w:rsid w:val="0098388D"/>
    <w:rsid w:val="009857E6"/>
    <w:rsid w:val="009867D0"/>
    <w:rsid w:val="00986F6C"/>
    <w:rsid w:val="009877F0"/>
    <w:rsid w:val="009920E6"/>
    <w:rsid w:val="00992862"/>
    <w:rsid w:val="009928B0"/>
    <w:rsid w:val="00993A8C"/>
    <w:rsid w:val="00993BF1"/>
    <w:rsid w:val="00994997"/>
    <w:rsid w:val="00994D11"/>
    <w:rsid w:val="00995753"/>
    <w:rsid w:val="009961BF"/>
    <w:rsid w:val="0099661F"/>
    <w:rsid w:val="00997017"/>
    <w:rsid w:val="009A0A4D"/>
    <w:rsid w:val="009A0D34"/>
    <w:rsid w:val="009A0FBD"/>
    <w:rsid w:val="009A1A9B"/>
    <w:rsid w:val="009A3294"/>
    <w:rsid w:val="009A4400"/>
    <w:rsid w:val="009B00BD"/>
    <w:rsid w:val="009B1706"/>
    <w:rsid w:val="009B29BC"/>
    <w:rsid w:val="009B3259"/>
    <w:rsid w:val="009B3264"/>
    <w:rsid w:val="009B3B4A"/>
    <w:rsid w:val="009B3CAF"/>
    <w:rsid w:val="009B44F5"/>
    <w:rsid w:val="009B48C8"/>
    <w:rsid w:val="009B7301"/>
    <w:rsid w:val="009C09C2"/>
    <w:rsid w:val="009C09DA"/>
    <w:rsid w:val="009C10D0"/>
    <w:rsid w:val="009C1263"/>
    <w:rsid w:val="009C1314"/>
    <w:rsid w:val="009C20D4"/>
    <w:rsid w:val="009C2E06"/>
    <w:rsid w:val="009C3C28"/>
    <w:rsid w:val="009C3F3D"/>
    <w:rsid w:val="009C465F"/>
    <w:rsid w:val="009C4880"/>
    <w:rsid w:val="009C64DC"/>
    <w:rsid w:val="009C7059"/>
    <w:rsid w:val="009C735D"/>
    <w:rsid w:val="009D0497"/>
    <w:rsid w:val="009D13DE"/>
    <w:rsid w:val="009D1BCA"/>
    <w:rsid w:val="009D1F67"/>
    <w:rsid w:val="009D35DE"/>
    <w:rsid w:val="009D3C98"/>
    <w:rsid w:val="009D55C6"/>
    <w:rsid w:val="009D56B3"/>
    <w:rsid w:val="009D5C7C"/>
    <w:rsid w:val="009D60B9"/>
    <w:rsid w:val="009D612C"/>
    <w:rsid w:val="009D67DE"/>
    <w:rsid w:val="009D7800"/>
    <w:rsid w:val="009E088C"/>
    <w:rsid w:val="009E0B83"/>
    <w:rsid w:val="009E2C0A"/>
    <w:rsid w:val="009E3210"/>
    <w:rsid w:val="009E3793"/>
    <w:rsid w:val="009E557E"/>
    <w:rsid w:val="009E560D"/>
    <w:rsid w:val="009E624E"/>
    <w:rsid w:val="009E6880"/>
    <w:rsid w:val="009E712F"/>
    <w:rsid w:val="009E7CB3"/>
    <w:rsid w:val="009E7E12"/>
    <w:rsid w:val="009F04C1"/>
    <w:rsid w:val="009F18C2"/>
    <w:rsid w:val="009F1DE4"/>
    <w:rsid w:val="009F22FF"/>
    <w:rsid w:val="009F2D74"/>
    <w:rsid w:val="009F44F5"/>
    <w:rsid w:val="009F4E92"/>
    <w:rsid w:val="009F555C"/>
    <w:rsid w:val="009F5BC1"/>
    <w:rsid w:val="009F5C43"/>
    <w:rsid w:val="009F6023"/>
    <w:rsid w:val="009F67DA"/>
    <w:rsid w:val="009F68F6"/>
    <w:rsid w:val="009F7EBE"/>
    <w:rsid w:val="009F7FDC"/>
    <w:rsid w:val="00A00280"/>
    <w:rsid w:val="00A003D6"/>
    <w:rsid w:val="00A00B61"/>
    <w:rsid w:val="00A022EE"/>
    <w:rsid w:val="00A02C86"/>
    <w:rsid w:val="00A02D42"/>
    <w:rsid w:val="00A02DE1"/>
    <w:rsid w:val="00A04076"/>
    <w:rsid w:val="00A05C93"/>
    <w:rsid w:val="00A06487"/>
    <w:rsid w:val="00A066F1"/>
    <w:rsid w:val="00A06DE9"/>
    <w:rsid w:val="00A0761D"/>
    <w:rsid w:val="00A07A54"/>
    <w:rsid w:val="00A108DA"/>
    <w:rsid w:val="00A10F0E"/>
    <w:rsid w:val="00A118D8"/>
    <w:rsid w:val="00A11B7D"/>
    <w:rsid w:val="00A12290"/>
    <w:rsid w:val="00A12A90"/>
    <w:rsid w:val="00A12FF1"/>
    <w:rsid w:val="00A1399F"/>
    <w:rsid w:val="00A13D66"/>
    <w:rsid w:val="00A13DBC"/>
    <w:rsid w:val="00A14137"/>
    <w:rsid w:val="00A14FFD"/>
    <w:rsid w:val="00A15569"/>
    <w:rsid w:val="00A16D89"/>
    <w:rsid w:val="00A179CA"/>
    <w:rsid w:val="00A17C28"/>
    <w:rsid w:val="00A20078"/>
    <w:rsid w:val="00A2049E"/>
    <w:rsid w:val="00A208FC"/>
    <w:rsid w:val="00A20B73"/>
    <w:rsid w:val="00A21368"/>
    <w:rsid w:val="00A21A8D"/>
    <w:rsid w:val="00A21DA8"/>
    <w:rsid w:val="00A24962"/>
    <w:rsid w:val="00A24AB7"/>
    <w:rsid w:val="00A24FF1"/>
    <w:rsid w:val="00A25056"/>
    <w:rsid w:val="00A26B98"/>
    <w:rsid w:val="00A27393"/>
    <w:rsid w:val="00A27B45"/>
    <w:rsid w:val="00A307AB"/>
    <w:rsid w:val="00A3176E"/>
    <w:rsid w:val="00A31E4F"/>
    <w:rsid w:val="00A32498"/>
    <w:rsid w:val="00A32C42"/>
    <w:rsid w:val="00A40DA1"/>
    <w:rsid w:val="00A41C19"/>
    <w:rsid w:val="00A43378"/>
    <w:rsid w:val="00A439AA"/>
    <w:rsid w:val="00A43E47"/>
    <w:rsid w:val="00A445BD"/>
    <w:rsid w:val="00A459C4"/>
    <w:rsid w:val="00A45EA9"/>
    <w:rsid w:val="00A47B1E"/>
    <w:rsid w:val="00A47E33"/>
    <w:rsid w:val="00A504A7"/>
    <w:rsid w:val="00A505B6"/>
    <w:rsid w:val="00A50853"/>
    <w:rsid w:val="00A50B05"/>
    <w:rsid w:val="00A52BAE"/>
    <w:rsid w:val="00A5332E"/>
    <w:rsid w:val="00A54234"/>
    <w:rsid w:val="00A54281"/>
    <w:rsid w:val="00A5599A"/>
    <w:rsid w:val="00A61D06"/>
    <w:rsid w:val="00A61EF0"/>
    <w:rsid w:val="00A625B7"/>
    <w:rsid w:val="00A6306E"/>
    <w:rsid w:val="00A65109"/>
    <w:rsid w:val="00A65AE6"/>
    <w:rsid w:val="00A675C8"/>
    <w:rsid w:val="00A67B73"/>
    <w:rsid w:val="00A7013A"/>
    <w:rsid w:val="00A705D9"/>
    <w:rsid w:val="00A70A69"/>
    <w:rsid w:val="00A70D3A"/>
    <w:rsid w:val="00A71F0C"/>
    <w:rsid w:val="00A72800"/>
    <w:rsid w:val="00A729A7"/>
    <w:rsid w:val="00A73477"/>
    <w:rsid w:val="00A7426F"/>
    <w:rsid w:val="00A76984"/>
    <w:rsid w:val="00A770CA"/>
    <w:rsid w:val="00A77EB0"/>
    <w:rsid w:val="00A80768"/>
    <w:rsid w:val="00A827FF"/>
    <w:rsid w:val="00A82A10"/>
    <w:rsid w:val="00A82DB8"/>
    <w:rsid w:val="00A82E1B"/>
    <w:rsid w:val="00A83757"/>
    <w:rsid w:val="00A852BA"/>
    <w:rsid w:val="00A85D3B"/>
    <w:rsid w:val="00A85FBC"/>
    <w:rsid w:val="00A86538"/>
    <w:rsid w:val="00A86C23"/>
    <w:rsid w:val="00A8730D"/>
    <w:rsid w:val="00A87DB4"/>
    <w:rsid w:val="00A9024D"/>
    <w:rsid w:val="00A90FB9"/>
    <w:rsid w:val="00A94162"/>
    <w:rsid w:val="00A94D6A"/>
    <w:rsid w:val="00A950E9"/>
    <w:rsid w:val="00A95519"/>
    <w:rsid w:val="00A95642"/>
    <w:rsid w:val="00A9634E"/>
    <w:rsid w:val="00A96E59"/>
    <w:rsid w:val="00A972F7"/>
    <w:rsid w:val="00A97C10"/>
    <w:rsid w:val="00AA0002"/>
    <w:rsid w:val="00AA0EC7"/>
    <w:rsid w:val="00AA264A"/>
    <w:rsid w:val="00AA2AA3"/>
    <w:rsid w:val="00AA2FBD"/>
    <w:rsid w:val="00AA3C95"/>
    <w:rsid w:val="00AA519E"/>
    <w:rsid w:val="00AA63D2"/>
    <w:rsid w:val="00AA6C20"/>
    <w:rsid w:val="00AA6DF7"/>
    <w:rsid w:val="00AB01BF"/>
    <w:rsid w:val="00AB1A66"/>
    <w:rsid w:val="00AB1CD9"/>
    <w:rsid w:val="00AB2255"/>
    <w:rsid w:val="00AB29D3"/>
    <w:rsid w:val="00AB2B2D"/>
    <w:rsid w:val="00AB2F5F"/>
    <w:rsid w:val="00AB5403"/>
    <w:rsid w:val="00AB5714"/>
    <w:rsid w:val="00AB630A"/>
    <w:rsid w:val="00AB6FB6"/>
    <w:rsid w:val="00AB701F"/>
    <w:rsid w:val="00AB7D9E"/>
    <w:rsid w:val="00AB7E3E"/>
    <w:rsid w:val="00AC015B"/>
    <w:rsid w:val="00AC0448"/>
    <w:rsid w:val="00AC1F84"/>
    <w:rsid w:val="00AC27CA"/>
    <w:rsid w:val="00AC3410"/>
    <w:rsid w:val="00AC55C8"/>
    <w:rsid w:val="00AC60A4"/>
    <w:rsid w:val="00AD06ED"/>
    <w:rsid w:val="00AD1630"/>
    <w:rsid w:val="00AD1817"/>
    <w:rsid w:val="00AD22FC"/>
    <w:rsid w:val="00AD2353"/>
    <w:rsid w:val="00AD2EBC"/>
    <w:rsid w:val="00AD49B0"/>
    <w:rsid w:val="00AD5104"/>
    <w:rsid w:val="00AD5118"/>
    <w:rsid w:val="00AD53A0"/>
    <w:rsid w:val="00AD6708"/>
    <w:rsid w:val="00AD6EEC"/>
    <w:rsid w:val="00AD71F4"/>
    <w:rsid w:val="00AD733C"/>
    <w:rsid w:val="00AE0206"/>
    <w:rsid w:val="00AE1049"/>
    <w:rsid w:val="00AE1F0D"/>
    <w:rsid w:val="00AE2359"/>
    <w:rsid w:val="00AE25E5"/>
    <w:rsid w:val="00AE27FC"/>
    <w:rsid w:val="00AE2CAF"/>
    <w:rsid w:val="00AE3246"/>
    <w:rsid w:val="00AE336B"/>
    <w:rsid w:val="00AE3B10"/>
    <w:rsid w:val="00AE4AA7"/>
    <w:rsid w:val="00AE4C7B"/>
    <w:rsid w:val="00AE6CD5"/>
    <w:rsid w:val="00AE71F3"/>
    <w:rsid w:val="00AE77E4"/>
    <w:rsid w:val="00AF1368"/>
    <w:rsid w:val="00AF1F25"/>
    <w:rsid w:val="00AF208C"/>
    <w:rsid w:val="00AF3418"/>
    <w:rsid w:val="00AF3B6E"/>
    <w:rsid w:val="00AF3F79"/>
    <w:rsid w:val="00AF43F7"/>
    <w:rsid w:val="00AF55EA"/>
    <w:rsid w:val="00AF5751"/>
    <w:rsid w:val="00AF5B0E"/>
    <w:rsid w:val="00AF68E7"/>
    <w:rsid w:val="00AF6A73"/>
    <w:rsid w:val="00B00A64"/>
    <w:rsid w:val="00B00BED"/>
    <w:rsid w:val="00B01A5A"/>
    <w:rsid w:val="00B01D65"/>
    <w:rsid w:val="00B02219"/>
    <w:rsid w:val="00B02EA0"/>
    <w:rsid w:val="00B0527C"/>
    <w:rsid w:val="00B05E0D"/>
    <w:rsid w:val="00B068A3"/>
    <w:rsid w:val="00B06D3D"/>
    <w:rsid w:val="00B06E06"/>
    <w:rsid w:val="00B073F5"/>
    <w:rsid w:val="00B10060"/>
    <w:rsid w:val="00B10127"/>
    <w:rsid w:val="00B101C9"/>
    <w:rsid w:val="00B1081B"/>
    <w:rsid w:val="00B10F94"/>
    <w:rsid w:val="00B11597"/>
    <w:rsid w:val="00B11B2D"/>
    <w:rsid w:val="00B11F4E"/>
    <w:rsid w:val="00B12D8B"/>
    <w:rsid w:val="00B154D0"/>
    <w:rsid w:val="00B205BF"/>
    <w:rsid w:val="00B20607"/>
    <w:rsid w:val="00B20EF1"/>
    <w:rsid w:val="00B215DB"/>
    <w:rsid w:val="00B21C9D"/>
    <w:rsid w:val="00B21F1C"/>
    <w:rsid w:val="00B2264D"/>
    <w:rsid w:val="00B22F38"/>
    <w:rsid w:val="00B23FB1"/>
    <w:rsid w:val="00B252A6"/>
    <w:rsid w:val="00B2600B"/>
    <w:rsid w:val="00B26112"/>
    <w:rsid w:val="00B26CEE"/>
    <w:rsid w:val="00B27655"/>
    <w:rsid w:val="00B277DF"/>
    <w:rsid w:val="00B27C44"/>
    <w:rsid w:val="00B27E52"/>
    <w:rsid w:val="00B302C1"/>
    <w:rsid w:val="00B3275C"/>
    <w:rsid w:val="00B32B77"/>
    <w:rsid w:val="00B341D5"/>
    <w:rsid w:val="00B35CC6"/>
    <w:rsid w:val="00B35E6E"/>
    <w:rsid w:val="00B36D09"/>
    <w:rsid w:val="00B376BF"/>
    <w:rsid w:val="00B403DF"/>
    <w:rsid w:val="00B40DA0"/>
    <w:rsid w:val="00B419E8"/>
    <w:rsid w:val="00B41C1C"/>
    <w:rsid w:val="00B41FDB"/>
    <w:rsid w:val="00B423C2"/>
    <w:rsid w:val="00B4258C"/>
    <w:rsid w:val="00B43125"/>
    <w:rsid w:val="00B4355F"/>
    <w:rsid w:val="00B43BB2"/>
    <w:rsid w:val="00B46A42"/>
    <w:rsid w:val="00B46D32"/>
    <w:rsid w:val="00B47022"/>
    <w:rsid w:val="00B50891"/>
    <w:rsid w:val="00B51758"/>
    <w:rsid w:val="00B51B1D"/>
    <w:rsid w:val="00B5283F"/>
    <w:rsid w:val="00B54E4C"/>
    <w:rsid w:val="00B55FDD"/>
    <w:rsid w:val="00B56821"/>
    <w:rsid w:val="00B600C8"/>
    <w:rsid w:val="00B60925"/>
    <w:rsid w:val="00B615D4"/>
    <w:rsid w:val="00B6171C"/>
    <w:rsid w:val="00B6347E"/>
    <w:rsid w:val="00B63BD3"/>
    <w:rsid w:val="00B65457"/>
    <w:rsid w:val="00B65A90"/>
    <w:rsid w:val="00B67211"/>
    <w:rsid w:val="00B67220"/>
    <w:rsid w:val="00B716E1"/>
    <w:rsid w:val="00B71816"/>
    <w:rsid w:val="00B7195E"/>
    <w:rsid w:val="00B71C73"/>
    <w:rsid w:val="00B724F2"/>
    <w:rsid w:val="00B72C2E"/>
    <w:rsid w:val="00B734F9"/>
    <w:rsid w:val="00B73C4C"/>
    <w:rsid w:val="00B7490E"/>
    <w:rsid w:val="00B757E7"/>
    <w:rsid w:val="00B75901"/>
    <w:rsid w:val="00B82FC9"/>
    <w:rsid w:val="00B84830"/>
    <w:rsid w:val="00B84AB4"/>
    <w:rsid w:val="00B86DDA"/>
    <w:rsid w:val="00B87445"/>
    <w:rsid w:val="00B8758B"/>
    <w:rsid w:val="00B901BB"/>
    <w:rsid w:val="00B911DA"/>
    <w:rsid w:val="00B91345"/>
    <w:rsid w:val="00B92B2E"/>
    <w:rsid w:val="00B94CBD"/>
    <w:rsid w:val="00B950AB"/>
    <w:rsid w:val="00B96557"/>
    <w:rsid w:val="00B96A41"/>
    <w:rsid w:val="00B96A7A"/>
    <w:rsid w:val="00B96FEF"/>
    <w:rsid w:val="00BA0E9C"/>
    <w:rsid w:val="00BA24D5"/>
    <w:rsid w:val="00BA2657"/>
    <w:rsid w:val="00BA3824"/>
    <w:rsid w:val="00BA6FED"/>
    <w:rsid w:val="00BB0A56"/>
    <w:rsid w:val="00BB2EC0"/>
    <w:rsid w:val="00BB53BC"/>
    <w:rsid w:val="00BB6648"/>
    <w:rsid w:val="00BB7F2C"/>
    <w:rsid w:val="00BC1A53"/>
    <w:rsid w:val="00BC2747"/>
    <w:rsid w:val="00BC2DD1"/>
    <w:rsid w:val="00BC38A7"/>
    <w:rsid w:val="00BC42F3"/>
    <w:rsid w:val="00BC4648"/>
    <w:rsid w:val="00BC4912"/>
    <w:rsid w:val="00BC7534"/>
    <w:rsid w:val="00BC7EB4"/>
    <w:rsid w:val="00BD0584"/>
    <w:rsid w:val="00BD1257"/>
    <w:rsid w:val="00BD1917"/>
    <w:rsid w:val="00BD3267"/>
    <w:rsid w:val="00BD3F9A"/>
    <w:rsid w:val="00BD45D9"/>
    <w:rsid w:val="00BD4CBF"/>
    <w:rsid w:val="00BD56F1"/>
    <w:rsid w:val="00BD734F"/>
    <w:rsid w:val="00BE0028"/>
    <w:rsid w:val="00BE0391"/>
    <w:rsid w:val="00BE0596"/>
    <w:rsid w:val="00BE0B7E"/>
    <w:rsid w:val="00BE1B93"/>
    <w:rsid w:val="00BE2B9B"/>
    <w:rsid w:val="00BE2D7C"/>
    <w:rsid w:val="00BE37F0"/>
    <w:rsid w:val="00BE46D0"/>
    <w:rsid w:val="00BE6234"/>
    <w:rsid w:val="00BE6456"/>
    <w:rsid w:val="00BE714A"/>
    <w:rsid w:val="00BE7C82"/>
    <w:rsid w:val="00BE7E31"/>
    <w:rsid w:val="00BF05B1"/>
    <w:rsid w:val="00BF0759"/>
    <w:rsid w:val="00BF1425"/>
    <w:rsid w:val="00BF25EF"/>
    <w:rsid w:val="00BF2E53"/>
    <w:rsid w:val="00BF379F"/>
    <w:rsid w:val="00BF3801"/>
    <w:rsid w:val="00BF3AAA"/>
    <w:rsid w:val="00BF413A"/>
    <w:rsid w:val="00BF4AE1"/>
    <w:rsid w:val="00BF4B3B"/>
    <w:rsid w:val="00BF74FB"/>
    <w:rsid w:val="00C0031C"/>
    <w:rsid w:val="00C008AA"/>
    <w:rsid w:val="00C00AB4"/>
    <w:rsid w:val="00C00F72"/>
    <w:rsid w:val="00C01B6F"/>
    <w:rsid w:val="00C01BD6"/>
    <w:rsid w:val="00C02305"/>
    <w:rsid w:val="00C02D35"/>
    <w:rsid w:val="00C02FD4"/>
    <w:rsid w:val="00C0358E"/>
    <w:rsid w:val="00C036AB"/>
    <w:rsid w:val="00C041AF"/>
    <w:rsid w:val="00C044DB"/>
    <w:rsid w:val="00C05686"/>
    <w:rsid w:val="00C05810"/>
    <w:rsid w:val="00C06025"/>
    <w:rsid w:val="00C069F8"/>
    <w:rsid w:val="00C07347"/>
    <w:rsid w:val="00C074C1"/>
    <w:rsid w:val="00C10E08"/>
    <w:rsid w:val="00C12225"/>
    <w:rsid w:val="00C12A56"/>
    <w:rsid w:val="00C12F34"/>
    <w:rsid w:val="00C13BC0"/>
    <w:rsid w:val="00C13EB7"/>
    <w:rsid w:val="00C17B42"/>
    <w:rsid w:val="00C17B92"/>
    <w:rsid w:val="00C20674"/>
    <w:rsid w:val="00C20E87"/>
    <w:rsid w:val="00C211FF"/>
    <w:rsid w:val="00C212F7"/>
    <w:rsid w:val="00C21F1E"/>
    <w:rsid w:val="00C22F85"/>
    <w:rsid w:val="00C23339"/>
    <w:rsid w:val="00C2428F"/>
    <w:rsid w:val="00C248E6"/>
    <w:rsid w:val="00C24ED9"/>
    <w:rsid w:val="00C25332"/>
    <w:rsid w:val="00C26697"/>
    <w:rsid w:val="00C26C95"/>
    <w:rsid w:val="00C27023"/>
    <w:rsid w:val="00C27A51"/>
    <w:rsid w:val="00C27BA8"/>
    <w:rsid w:val="00C27BB2"/>
    <w:rsid w:val="00C30220"/>
    <w:rsid w:val="00C30227"/>
    <w:rsid w:val="00C30CFC"/>
    <w:rsid w:val="00C31252"/>
    <w:rsid w:val="00C316EB"/>
    <w:rsid w:val="00C3297B"/>
    <w:rsid w:val="00C33CBB"/>
    <w:rsid w:val="00C3439B"/>
    <w:rsid w:val="00C343F0"/>
    <w:rsid w:val="00C34487"/>
    <w:rsid w:val="00C34FC4"/>
    <w:rsid w:val="00C42070"/>
    <w:rsid w:val="00C42872"/>
    <w:rsid w:val="00C42ADF"/>
    <w:rsid w:val="00C436E3"/>
    <w:rsid w:val="00C43A74"/>
    <w:rsid w:val="00C45464"/>
    <w:rsid w:val="00C4566D"/>
    <w:rsid w:val="00C45902"/>
    <w:rsid w:val="00C46684"/>
    <w:rsid w:val="00C50E09"/>
    <w:rsid w:val="00C5350F"/>
    <w:rsid w:val="00C53CB0"/>
    <w:rsid w:val="00C55250"/>
    <w:rsid w:val="00C558AA"/>
    <w:rsid w:val="00C55ADB"/>
    <w:rsid w:val="00C56C82"/>
    <w:rsid w:val="00C56F47"/>
    <w:rsid w:val="00C57891"/>
    <w:rsid w:val="00C57BE5"/>
    <w:rsid w:val="00C6031E"/>
    <w:rsid w:val="00C60C20"/>
    <w:rsid w:val="00C613D6"/>
    <w:rsid w:val="00C61F5E"/>
    <w:rsid w:val="00C627E3"/>
    <w:rsid w:val="00C6321E"/>
    <w:rsid w:val="00C63F32"/>
    <w:rsid w:val="00C63FDE"/>
    <w:rsid w:val="00C64390"/>
    <w:rsid w:val="00C64997"/>
    <w:rsid w:val="00C65B91"/>
    <w:rsid w:val="00C65FD7"/>
    <w:rsid w:val="00C663F4"/>
    <w:rsid w:val="00C6674E"/>
    <w:rsid w:val="00C67D71"/>
    <w:rsid w:val="00C703D4"/>
    <w:rsid w:val="00C708E5"/>
    <w:rsid w:val="00C70A6E"/>
    <w:rsid w:val="00C7101F"/>
    <w:rsid w:val="00C7136C"/>
    <w:rsid w:val="00C71948"/>
    <w:rsid w:val="00C72AB4"/>
    <w:rsid w:val="00C72D18"/>
    <w:rsid w:val="00C73A9A"/>
    <w:rsid w:val="00C73C0B"/>
    <w:rsid w:val="00C74ED5"/>
    <w:rsid w:val="00C758C5"/>
    <w:rsid w:val="00C75D20"/>
    <w:rsid w:val="00C763DD"/>
    <w:rsid w:val="00C7647C"/>
    <w:rsid w:val="00C80E46"/>
    <w:rsid w:val="00C81E6B"/>
    <w:rsid w:val="00C8279C"/>
    <w:rsid w:val="00C828E2"/>
    <w:rsid w:val="00C83935"/>
    <w:rsid w:val="00C83AA6"/>
    <w:rsid w:val="00C8498D"/>
    <w:rsid w:val="00C868FD"/>
    <w:rsid w:val="00C86F44"/>
    <w:rsid w:val="00C87585"/>
    <w:rsid w:val="00C9042B"/>
    <w:rsid w:val="00C909E1"/>
    <w:rsid w:val="00C919E1"/>
    <w:rsid w:val="00C91C9B"/>
    <w:rsid w:val="00C9264A"/>
    <w:rsid w:val="00C9294B"/>
    <w:rsid w:val="00C929F4"/>
    <w:rsid w:val="00C93266"/>
    <w:rsid w:val="00C933D2"/>
    <w:rsid w:val="00C936FC"/>
    <w:rsid w:val="00C93BCB"/>
    <w:rsid w:val="00C94330"/>
    <w:rsid w:val="00C94F7C"/>
    <w:rsid w:val="00C95161"/>
    <w:rsid w:val="00C95817"/>
    <w:rsid w:val="00C960F8"/>
    <w:rsid w:val="00C96D56"/>
    <w:rsid w:val="00C96E23"/>
    <w:rsid w:val="00C971B9"/>
    <w:rsid w:val="00C97364"/>
    <w:rsid w:val="00CA038E"/>
    <w:rsid w:val="00CA0634"/>
    <w:rsid w:val="00CA07D8"/>
    <w:rsid w:val="00CA141A"/>
    <w:rsid w:val="00CA153F"/>
    <w:rsid w:val="00CA2395"/>
    <w:rsid w:val="00CA3C9F"/>
    <w:rsid w:val="00CA4EA6"/>
    <w:rsid w:val="00CA668A"/>
    <w:rsid w:val="00CA6BD7"/>
    <w:rsid w:val="00CA6F45"/>
    <w:rsid w:val="00CA720F"/>
    <w:rsid w:val="00CA7589"/>
    <w:rsid w:val="00CA789D"/>
    <w:rsid w:val="00CA7B5D"/>
    <w:rsid w:val="00CA7DE3"/>
    <w:rsid w:val="00CB0793"/>
    <w:rsid w:val="00CB0CCA"/>
    <w:rsid w:val="00CB162B"/>
    <w:rsid w:val="00CB43A4"/>
    <w:rsid w:val="00CB4F7B"/>
    <w:rsid w:val="00CB4FC5"/>
    <w:rsid w:val="00CB56E7"/>
    <w:rsid w:val="00CB791B"/>
    <w:rsid w:val="00CC0BDE"/>
    <w:rsid w:val="00CC1367"/>
    <w:rsid w:val="00CC14E1"/>
    <w:rsid w:val="00CC1B83"/>
    <w:rsid w:val="00CC214D"/>
    <w:rsid w:val="00CC3563"/>
    <w:rsid w:val="00CC4E9E"/>
    <w:rsid w:val="00CC4F61"/>
    <w:rsid w:val="00CC5F59"/>
    <w:rsid w:val="00CC6051"/>
    <w:rsid w:val="00CC7DD7"/>
    <w:rsid w:val="00CC7EE2"/>
    <w:rsid w:val="00CD063E"/>
    <w:rsid w:val="00CD2822"/>
    <w:rsid w:val="00CD3021"/>
    <w:rsid w:val="00CD32A5"/>
    <w:rsid w:val="00CD3FA1"/>
    <w:rsid w:val="00CD4D20"/>
    <w:rsid w:val="00CD58C3"/>
    <w:rsid w:val="00CD6B00"/>
    <w:rsid w:val="00CD7EB8"/>
    <w:rsid w:val="00CE07D3"/>
    <w:rsid w:val="00CE17A4"/>
    <w:rsid w:val="00CE302A"/>
    <w:rsid w:val="00CE3CCA"/>
    <w:rsid w:val="00CE41FA"/>
    <w:rsid w:val="00CE4292"/>
    <w:rsid w:val="00CE479C"/>
    <w:rsid w:val="00CE53E5"/>
    <w:rsid w:val="00CE5961"/>
    <w:rsid w:val="00CE61DE"/>
    <w:rsid w:val="00CE712E"/>
    <w:rsid w:val="00CE7B27"/>
    <w:rsid w:val="00CF0A73"/>
    <w:rsid w:val="00CF1484"/>
    <w:rsid w:val="00CF26C0"/>
    <w:rsid w:val="00CF3293"/>
    <w:rsid w:val="00CF34F0"/>
    <w:rsid w:val="00CF386F"/>
    <w:rsid w:val="00CF3BFF"/>
    <w:rsid w:val="00CF49D7"/>
    <w:rsid w:val="00CF515F"/>
    <w:rsid w:val="00CF5267"/>
    <w:rsid w:val="00CF5E79"/>
    <w:rsid w:val="00CF669B"/>
    <w:rsid w:val="00CF70DE"/>
    <w:rsid w:val="00CF739F"/>
    <w:rsid w:val="00D00D12"/>
    <w:rsid w:val="00D016B2"/>
    <w:rsid w:val="00D018CC"/>
    <w:rsid w:val="00D01C85"/>
    <w:rsid w:val="00D01F15"/>
    <w:rsid w:val="00D02094"/>
    <w:rsid w:val="00D0257F"/>
    <w:rsid w:val="00D0325C"/>
    <w:rsid w:val="00D03440"/>
    <w:rsid w:val="00D03E97"/>
    <w:rsid w:val="00D0597F"/>
    <w:rsid w:val="00D05B55"/>
    <w:rsid w:val="00D06B06"/>
    <w:rsid w:val="00D076FD"/>
    <w:rsid w:val="00D07EAE"/>
    <w:rsid w:val="00D1064E"/>
    <w:rsid w:val="00D10BF9"/>
    <w:rsid w:val="00D11EB5"/>
    <w:rsid w:val="00D12CCE"/>
    <w:rsid w:val="00D13611"/>
    <w:rsid w:val="00D13747"/>
    <w:rsid w:val="00D14AF6"/>
    <w:rsid w:val="00D158A1"/>
    <w:rsid w:val="00D16DF8"/>
    <w:rsid w:val="00D20289"/>
    <w:rsid w:val="00D205E9"/>
    <w:rsid w:val="00D209B6"/>
    <w:rsid w:val="00D20C14"/>
    <w:rsid w:val="00D20CD1"/>
    <w:rsid w:val="00D21A89"/>
    <w:rsid w:val="00D2298E"/>
    <w:rsid w:val="00D22ED5"/>
    <w:rsid w:val="00D234F8"/>
    <w:rsid w:val="00D26895"/>
    <w:rsid w:val="00D26951"/>
    <w:rsid w:val="00D26B9D"/>
    <w:rsid w:val="00D277F6"/>
    <w:rsid w:val="00D31551"/>
    <w:rsid w:val="00D3178A"/>
    <w:rsid w:val="00D32D86"/>
    <w:rsid w:val="00D33502"/>
    <w:rsid w:val="00D3378B"/>
    <w:rsid w:val="00D338D4"/>
    <w:rsid w:val="00D354D1"/>
    <w:rsid w:val="00D364F4"/>
    <w:rsid w:val="00D37224"/>
    <w:rsid w:val="00D37309"/>
    <w:rsid w:val="00D373D8"/>
    <w:rsid w:val="00D40704"/>
    <w:rsid w:val="00D40B97"/>
    <w:rsid w:val="00D41564"/>
    <w:rsid w:val="00D41C32"/>
    <w:rsid w:val="00D42849"/>
    <w:rsid w:val="00D42A25"/>
    <w:rsid w:val="00D431D8"/>
    <w:rsid w:val="00D4388C"/>
    <w:rsid w:val="00D4651A"/>
    <w:rsid w:val="00D46EF8"/>
    <w:rsid w:val="00D504EC"/>
    <w:rsid w:val="00D50F51"/>
    <w:rsid w:val="00D53573"/>
    <w:rsid w:val="00D536E8"/>
    <w:rsid w:val="00D54198"/>
    <w:rsid w:val="00D546A3"/>
    <w:rsid w:val="00D54CAE"/>
    <w:rsid w:val="00D556D8"/>
    <w:rsid w:val="00D57A0D"/>
    <w:rsid w:val="00D57FA9"/>
    <w:rsid w:val="00D60248"/>
    <w:rsid w:val="00D60505"/>
    <w:rsid w:val="00D60815"/>
    <w:rsid w:val="00D62E6F"/>
    <w:rsid w:val="00D63797"/>
    <w:rsid w:val="00D64B9F"/>
    <w:rsid w:val="00D65C6A"/>
    <w:rsid w:val="00D66162"/>
    <w:rsid w:val="00D67869"/>
    <w:rsid w:val="00D67A94"/>
    <w:rsid w:val="00D70058"/>
    <w:rsid w:val="00D70368"/>
    <w:rsid w:val="00D709EE"/>
    <w:rsid w:val="00D72B93"/>
    <w:rsid w:val="00D72E36"/>
    <w:rsid w:val="00D73C2A"/>
    <w:rsid w:val="00D74ABF"/>
    <w:rsid w:val="00D75971"/>
    <w:rsid w:val="00D76E68"/>
    <w:rsid w:val="00D77103"/>
    <w:rsid w:val="00D77553"/>
    <w:rsid w:val="00D77DEE"/>
    <w:rsid w:val="00D80A12"/>
    <w:rsid w:val="00D8240D"/>
    <w:rsid w:val="00D8318C"/>
    <w:rsid w:val="00D83480"/>
    <w:rsid w:val="00D835DC"/>
    <w:rsid w:val="00D84D5F"/>
    <w:rsid w:val="00D86CD3"/>
    <w:rsid w:val="00D875AE"/>
    <w:rsid w:val="00D87998"/>
    <w:rsid w:val="00D87E96"/>
    <w:rsid w:val="00D87F4E"/>
    <w:rsid w:val="00D902FC"/>
    <w:rsid w:val="00D90AC4"/>
    <w:rsid w:val="00D90C37"/>
    <w:rsid w:val="00D92C0E"/>
    <w:rsid w:val="00D93BB0"/>
    <w:rsid w:val="00D93EAE"/>
    <w:rsid w:val="00D9664D"/>
    <w:rsid w:val="00D9782D"/>
    <w:rsid w:val="00DA0945"/>
    <w:rsid w:val="00DA0C66"/>
    <w:rsid w:val="00DA23DC"/>
    <w:rsid w:val="00DA3AD6"/>
    <w:rsid w:val="00DA57F5"/>
    <w:rsid w:val="00DA5A4F"/>
    <w:rsid w:val="00DA5EC4"/>
    <w:rsid w:val="00DA6371"/>
    <w:rsid w:val="00DA6861"/>
    <w:rsid w:val="00DB0698"/>
    <w:rsid w:val="00DB0D77"/>
    <w:rsid w:val="00DB1300"/>
    <w:rsid w:val="00DB17B0"/>
    <w:rsid w:val="00DB2AD5"/>
    <w:rsid w:val="00DB2DF9"/>
    <w:rsid w:val="00DB3362"/>
    <w:rsid w:val="00DB3735"/>
    <w:rsid w:val="00DB3A0D"/>
    <w:rsid w:val="00DB4EA0"/>
    <w:rsid w:val="00DB5119"/>
    <w:rsid w:val="00DB55EC"/>
    <w:rsid w:val="00DC02B9"/>
    <w:rsid w:val="00DC05E6"/>
    <w:rsid w:val="00DC1AB2"/>
    <w:rsid w:val="00DC1C87"/>
    <w:rsid w:val="00DC5095"/>
    <w:rsid w:val="00DC531A"/>
    <w:rsid w:val="00DC5E11"/>
    <w:rsid w:val="00DC721B"/>
    <w:rsid w:val="00DD001D"/>
    <w:rsid w:val="00DD07F7"/>
    <w:rsid w:val="00DD080B"/>
    <w:rsid w:val="00DD0F5F"/>
    <w:rsid w:val="00DD217A"/>
    <w:rsid w:val="00DD2886"/>
    <w:rsid w:val="00DD43D5"/>
    <w:rsid w:val="00DD4BA8"/>
    <w:rsid w:val="00DD5EA1"/>
    <w:rsid w:val="00DD62A5"/>
    <w:rsid w:val="00DD7A19"/>
    <w:rsid w:val="00DE03E3"/>
    <w:rsid w:val="00DE10DC"/>
    <w:rsid w:val="00DE1F41"/>
    <w:rsid w:val="00DE1F5E"/>
    <w:rsid w:val="00DE2024"/>
    <w:rsid w:val="00DE22AC"/>
    <w:rsid w:val="00DE279A"/>
    <w:rsid w:val="00DE2ADE"/>
    <w:rsid w:val="00DE3322"/>
    <w:rsid w:val="00DE3BE2"/>
    <w:rsid w:val="00DE4144"/>
    <w:rsid w:val="00DE4308"/>
    <w:rsid w:val="00DE5764"/>
    <w:rsid w:val="00DE585A"/>
    <w:rsid w:val="00DE66E3"/>
    <w:rsid w:val="00DE69E3"/>
    <w:rsid w:val="00DE70BD"/>
    <w:rsid w:val="00DE71FD"/>
    <w:rsid w:val="00DE740A"/>
    <w:rsid w:val="00DE7B3E"/>
    <w:rsid w:val="00DF04BA"/>
    <w:rsid w:val="00DF0950"/>
    <w:rsid w:val="00DF10B7"/>
    <w:rsid w:val="00DF1489"/>
    <w:rsid w:val="00DF187D"/>
    <w:rsid w:val="00DF248E"/>
    <w:rsid w:val="00DF29CE"/>
    <w:rsid w:val="00DF3469"/>
    <w:rsid w:val="00DF35EF"/>
    <w:rsid w:val="00DF3C3B"/>
    <w:rsid w:val="00DF47A0"/>
    <w:rsid w:val="00DF55D1"/>
    <w:rsid w:val="00DF68B3"/>
    <w:rsid w:val="00DF6929"/>
    <w:rsid w:val="00DF6AA1"/>
    <w:rsid w:val="00DF6B1A"/>
    <w:rsid w:val="00DF7B23"/>
    <w:rsid w:val="00E00B6C"/>
    <w:rsid w:val="00E01037"/>
    <w:rsid w:val="00E014F1"/>
    <w:rsid w:val="00E0186E"/>
    <w:rsid w:val="00E01E16"/>
    <w:rsid w:val="00E0285A"/>
    <w:rsid w:val="00E04185"/>
    <w:rsid w:val="00E05B19"/>
    <w:rsid w:val="00E05FD6"/>
    <w:rsid w:val="00E06DC0"/>
    <w:rsid w:val="00E07B1F"/>
    <w:rsid w:val="00E07CFE"/>
    <w:rsid w:val="00E106F0"/>
    <w:rsid w:val="00E10CE5"/>
    <w:rsid w:val="00E119A2"/>
    <w:rsid w:val="00E12794"/>
    <w:rsid w:val="00E12E13"/>
    <w:rsid w:val="00E12F6E"/>
    <w:rsid w:val="00E130AD"/>
    <w:rsid w:val="00E134C3"/>
    <w:rsid w:val="00E15027"/>
    <w:rsid w:val="00E15345"/>
    <w:rsid w:val="00E1673A"/>
    <w:rsid w:val="00E16D0E"/>
    <w:rsid w:val="00E16DB1"/>
    <w:rsid w:val="00E17116"/>
    <w:rsid w:val="00E17750"/>
    <w:rsid w:val="00E2011D"/>
    <w:rsid w:val="00E2062D"/>
    <w:rsid w:val="00E2071B"/>
    <w:rsid w:val="00E2114B"/>
    <w:rsid w:val="00E23295"/>
    <w:rsid w:val="00E24156"/>
    <w:rsid w:val="00E24479"/>
    <w:rsid w:val="00E24C84"/>
    <w:rsid w:val="00E27917"/>
    <w:rsid w:val="00E27D4C"/>
    <w:rsid w:val="00E30CF1"/>
    <w:rsid w:val="00E3129E"/>
    <w:rsid w:val="00E32085"/>
    <w:rsid w:val="00E32BF3"/>
    <w:rsid w:val="00E33395"/>
    <w:rsid w:val="00E333E6"/>
    <w:rsid w:val="00E33B5C"/>
    <w:rsid w:val="00E33B62"/>
    <w:rsid w:val="00E35E10"/>
    <w:rsid w:val="00E35F7A"/>
    <w:rsid w:val="00E36B5D"/>
    <w:rsid w:val="00E37D17"/>
    <w:rsid w:val="00E4002B"/>
    <w:rsid w:val="00E4074D"/>
    <w:rsid w:val="00E40A96"/>
    <w:rsid w:val="00E416B5"/>
    <w:rsid w:val="00E41B97"/>
    <w:rsid w:val="00E41B9A"/>
    <w:rsid w:val="00E4273E"/>
    <w:rsid w:val="00E4547F"/>
    <w:rsid w:val="00E45652"/>
    <w:rsid w:val="00E463B2"/>
    <w:rsid w:val="00E46A88"/>
    <w:rsid w:val="00E46E1B"/>
    <w:rsid w:val="00E515BC"/>
    <w:rsid w:val="00E52027"/>
    <w:rsid w:val="00E5203E"/>
    <w:rsid w:val="00E53F65"/>
    <w:rsid w:val="00E548B1"/>
    <w:rsid w:val="00E54AC5"/>
    <w:rsid w:val="00E54E2D"/>
    <w:rsid w:val="00E551EC"/>
    <w:rsid w:val="00E554A1"/>
    <w:rsid w:val="00E5598C"/>
    <w:rsid w:val="00E56048"/>
    <w:rsid w:val="00E56154"/>
    <w:rsid w:val="00E56274"/>
    <w:rsid w:val="00E57E5D"/>
    <w:rsid w:val="00E57F7E"/>
    <w:rsid w:val="00E6005C"/>
    <w:rsid w:val="00E6024A"/>
    <w:rsid w:val="00E60510"/>
    <w:rsid w:val="00E606C1"/>
    <w:rsid w:val="00E6167C"/>
    <w:rsid w:val="00E6306C"/>
    <w:rsid w:val="00E635FB"/>
    <w:rsid w:val="00E63907"/>
    <w:rsid w:val="00E65361"/>
    <w:rsid w:val="00E65CBE"/>
    <w:rsid w:val="00E66A6C"/>
    <w:rsid w:val="00E701D4"/>
    <w:rsid w:val="00E707C4"/>
    <w:rsid w:val="00E710EC"/>
    <w:rsid w:val="00E7116C"/>
    <w:rsid w:val="00E71642"/>
    <w:rsid w:val="00E7245A"/>
    <w:rsid w:val="00E733EC"/>
    <w:rsid w:val="00E7341A"/>
    <w:rsid w:val="00E73810"/>
    <w:rsid w:val="00E739E1"/>
    <w:rsid w:val="00E73DB9"/>
    <w:rsid w:val="00E74988"/>
    <w:rsid w:val="00E7518E"/>
    <w:rsid w:val="00E763EF"/>
    <w:rsid w:val="00E77F1F"/>
    <w:rsid w:val="00E8145D"/>
    <w:rsid w:val="00E81731"/>
    <w:rsid w:val="00E81C8B"/>
    <w:rsid w:val="00E82199"/>
    <w:rsid w:val="00E82687"/>
    <w:rsid w:val="00E82E02"/>
    <w:rsid w:val="00E83BB7"/>
    <w:rsid w:val="00E841CD"/>
    <w:rsid w:val="00E84B13"/>
    <w:rsid w:val="00E858D8"/>
    <w:rsid w:val="00E90F83"/>
    <w:rsid w:val="00E9145E"/>
    <w:rsid w:val="00E916C5"/>
    <w:rsid w:val="00E91EBF"/>
    <w:rsid w:val="00E92ABC"/>
    <w:rsid w:val="00E9320F"/>
    <w:rsid w:val="00E944DD"/>
    <w:rsid w:val="00E94C50"/>
    <w:rsid w:val="00E94D13"/>
    <w:rsid w:val="00E95F75"/>
    <w:rsid w:val="00E95FFC"/>
    <w:rsid w:val="00E974BC"/>
    <w:rsid w:val="00E97680"/>
    <w:rsid w:val="00EA02B1"/>
    <w:rsid w:val="00EA0321"/>
    <w:rsid w:val="00EA03AF"/>
    <w:rsid w:val="00EA09DA"/>
    <w:rsid w:val="00EA111F"/>
    <w:rsid w:val="00EA1BBA"/>
    <w:rsid w:val="00EA37A3"/>
    <w:rsid w:val="00EA44C0"/>
    <w:rsid w:val="00EA49E6"/>
    <w:rsid w:val="00EA5191"/>
    <w:rsid w:val="00EA5800"/>
    <w:rsid w:val="00EA60D5"/>
    <w:rsid w:val="00EA6A95"/>
    <w:rsid w:val="00EA7714"/>
    <w:rsid w:val="00EA7E4C"/>
    <w:rsid w:val="00EB01F3"/>
    <w:rsid w:val="00EB15C0"/>
    <w:rsid w:val="00EB2668"/>
    <w:rsid w:val="00EB27CE"/>
    <w:rsid w:val="00EB3828"/>
    <w:rsid w:val="00EB38D2"/>
    <w:rsid w:val="00EB4BA4"/>
    <w:rsid w:val="00EB55FC"/>
    <w:rsid w:val="00EB56F8"/>
    <w:rsid w:val="00EB672B"/>
    <w:rsid w:val="00EB6D19"/>
    <w:rsid w:val="00EB7EC0"/>
    <w:rsid w:val="00EC0EC2"/>
    <w:rsid w:val="00EC130A"/>
    <w:rsid w:val="00EC3D76"/>
    <w:rsid w:val="00EC3D9B"/>
    <w:rsid w:val="00EC4A14"/>
    <w:rsid w:val="00EC5590"/>
    <w:rsid w:val="00EC72B5"/>
    <w:rsid w:val="00EC7E3C"/>
    <w:rsid w:val="00ED0182"/>
    <w:rsid w:val="00ED0DC9"/>
    <w:rsid w:val="00ED1046"/>
    <w:rsid w:val="00ED1705"/>
    <w:rsid w:val="00ED2179"/>
    <w:rsid w:val="00ED2FA8"/>
    <w:rsid w:val="00ED3A10"/>
    <w:rsid w:val="00ED578E"/>
    <w:rsid w:val="00ED5E02"/>
    <w:rsid w:val="00ED70C7"/>
    <w:rsid w:val="00ED7152"/>
    <w:rsid w:val="00ED7978"/>
    <w:rsid w:val="00EE08A2"/>
    <w:rsid w:val="00EE1F33"/>
    <w:rsid w:val="00EE240A"/>
    <w:rsid w:val="00EE4613"/>
    <w:rsid w:val="00EE4C28"/>
    <w:rsid w:val="00EE5C33"/>
    <w:rsid w:val="00EE7026"/>
    <w:rsid w:val="00EF0035"/>
    <w:rsid w:val="00EF0C31"/>
    <w:rsid w:val="00EF0D58"/>
    <w:rsid w:val="00EF21D2"/>
    <w:rsid w:val="00EF250C"/>
    <w:rsid w:val="00EF253D"/>
    <w:rsid w:val="00EF2808"/>
    <w:rsid w:val="00EF29A3"/>
    <w:rsid w:val="00EF367F"/>
    <w:rsid w:val="00EF431E"/>
    <w:rsid w:val="00EF5568"/>
    <w:rsid w:val="00EF5B36"/>
    <w:rsid w:val="00EF5B45"/>
    <w:rsid w:val="00EF5C8A"/>
    <w:rsid w:val="00EF6544"/>
    <w:rsid w:val="00EF74DE"/>
    <w:rsid w:val="00F00862"/>
    <w:rsid w:val="00F00E90"/>
    <w:rsid w:val="00F0149B"/>
    <w:rsid w:val="00F02C6A"/>
    <w:rsid w:val="00F03CF6"/>
    <w:rsid w:val="00F04D20"/>
    <w:rsid w:val="00F05361"/>
    <w:rsid w:val="00F05DA9"/>
    <w:rsid w:val="00F05FD8"/>
    <w:rsid w:val="00F06283"/>
    <w:rsid w:val="00F0650D"/>
    <w:rsid w:val="00F06580"/>
    <w:rsid w:val="00F07A3B"/>
    <w:rsid w:val="00F07CF7"/>
    <w:rsid w:val="00F10494"/>
    <w:rsid w:val="00F106EC"/>
    <w:rsid w:val="00F1082F"/>
    <w:rsid w:val="00F108C4"/>
    <w:rsid w:val="00F10A42"/>
    <w:rsid w:val="00F116AE"/>
    <w:rsid w:val="00F129A0"/>
    <w:rsid w:val="00F13BCA"/>
    <w:rsid w:val="00F14089"/>
    <w:rsid w:val="00F145D3"/>
    <w:rsid w:val="00F146C8"/>
    <w:rsid w:val="00F16D87"/>
    <w:rsid w:val="00F17275"/>
    <w:rsid w:val="00F175C4"/>
    <w:rsid w:val="00F17AA8"/>
    <w:rsid w:val="00F20FAE"/>
    <w:rsid w:val="00F22A0C"/>
    <w:rsid w:val="00F23323"/>
    <w:rsid w:val="00F24246"/>
    <w:rsid w:val="00F2564F"/>
    <w:rsid w:val="00F259D1"/>
    <w:rsid w:val="00F27094"/>
    <w:rsid w:val="00F273A3"/>
    <w:rsid w:val="00F31311"/>
    <w:rsid w:val="00F31321"/>
    <w:rsid w:val="00F32158"/>
    <w:rsid w:val="00F32317"/>
    <w:rsid w:val="00F3299E"/>
    <w:rsid w:val="00F33200"/>
    <w:rsid w:val="00F334AC"/>
    <w:rsid w:val="00F336FB"/>
    <w:rsid w:val="00F33D09"/>
    <w:rsid w:val="00F34217"/>
    <w:rsid w:val="00F353B4"/>
    <w:rsid w:val="00F371B2"/>
    <w:rsid w:val="00F373E2"/>
    <w:rsid w:val="00F3757D"/>
    <w:rsid w:val="00F37D1A"/>
    <w:rsid w:val="00F409A6"/>
    <w:rsid w:val="00F417B1"/>
    <w:rsid w:val="00F41979"/>
    <w:rsid w:val="00F43CB6"/>
    <w:rsid w:val="00F44206"/>
    <w:rsid w:val="00F44DFF"/>
    <w:rsid w:val="00F45287"/>
    <w:rsid w:val="00F455B5"/>
    <w:rsid w:val="00F46C8E"/>
    <w:rsid w:val="00F46FB4"/>
    <w:rsid w:val="00F47C01"/>
    <w:rsid w:val="00F51117"/>
    <w:rsid w:val="00F528C6"/>
    <w:rsid w:val="00F54B5F"/>
    <w:rsid w:val="00F55A94"/>
    <w:rsid w:val="00F55BE5"/>
    <w:rsid w:val="00F56137"/>
    <w:rsid w:val="00F56536"/>
    <w:rsid w:val="00F57A1C"/>
    <w:rsid w:val="00F60BAD"/>
    <w:rsid w:val="00F62307"/>
    <w:rsid w:val="00F628B5"/>
    <w:rsid w:val="00F62BA1"/>
    <w:rsid w:val="00F631CD"/>
    <w:rsid w:val="00F63376"/>
    <w:rsid w:val="00F63602"/>
    <w:rsid w:val="00F6389F"/>
    <w:rsid w:val="00F65F6D"/>
    <w:rsid w:val="00F67233"/>
    <w:rsid w:val="00F672B9"/>
    <w:rsid w:val="00F6764D"/>
    <w:rsid w:val="00F70095"/>
    <w:rsid w:val="00F70244"/>
    <w:rsid w:val="00F704B8"/>
    <w:rsid w:val="00F713F7"/>
    <w:rsid w:val="00F714E7"/>
    <w:rsid w:val="00F71D4E"/>
    <w:rsid w:val="00F71DB5"/>
    <w:rsid w:val="00F71F08"/>
    <w:rsid w:val="00F721E3"/>
    <w:rsid w:val="00F733DE"/>
    <w:rsid w:val="00F73D56"/>
    <w:rsid w:val="00F753C0"/>
    <w:rsid w:val="00F76E32"/>
    <w:rsid w:val="00F775EB"/>
    <w:rsid w:val="00F77608"/>
    <w:rsid w:val="00F776F6"/>
    <w:rsid w:val="00F77F0C"/>
    <w:rsid w:val="00F8156B"/>
    <w:rsid w:val="00F81722"/>
    <w:rsid w:val="00F820D2"/>
    <w:rsid w:val="00F83800"/>
    <w:rsid w:val="00F84A2C"/>
    <w:rsid w:val="00F86495"/>
    <w:rsid w:val="00F867BE"/>
    <w:rsid w:val="00F91F76"/>
    <w:rsid w:val="00F921D1"/>
    <w:rsid w:val="00F9249B"/>
    <w:rsid w:val="00F93966"/>
    <w:rsid w:val="00F94D8C"/>
    <w:rsid w:val="00F94F53"/>
    <w:rsid w:val="00F97CFD"/>
    <w:rsid w:val="00FA0262"/>
    <w:rsid w:val="00FA0F44"/>
    <w:rsid w:val="00FA2523"/>
    <w:rsid w:val="00FA473D"/>
    <w:rsid w:val="00FA5219"/>
    <w:rsid w:val="00FA5536"/>
    <w:rsid w:val="00FA6E5A"/>
    <w:rsid w:val="00FA72C3"/>
    <w:rsid w:val="00FA7782"/>
    <w:rsid w:val="00FB3426"/>
    <w:rsid w:val="00FB3C38"/>
    <w:rsid w:val="00FB4826"/>
    <w:rsid w:val="00FB4860"/>
    <w:rsid w:val="00FB4BD8"/>
    <w:rsid w:val="00FB4F64"/>
    <w:rsid w:val="00FB50BA"/>
    <w:rsid w:val="00FB5A60"/>
    <w:rsid w:val="00FB6F9F"/>
    <w:rsid w:val="00FB70B7"/>
    <w:rsid w:val="00FC1C7F"/>
    <w:rsid w:val="00FC25F3"/>
    <w:rsid w:val="00FC2676"/>
    <w:rsid w:val="00FC3771"/>
    <w:rsid w:val="00FC4159"/>
    <w:rsid w:val="00FC4510"/>
    <w:rsid w:val="00FC60D5"/>
    <w:rsid w:val="00FC62E7"/>
    <w:rsid w:val="00FC69FE"/>
    <w:rsid w:val="00FC6E10"/>
    <w:rsid w:val="00FC6EC4"/>
    <w:rsid w:val="00FC74DA"/>
    <w:rsid w:val="00FD0460"/>
    <w:rsid w:val="00FD07C3"/>
    <w:rsid w:val="00FD10AE"/>
    <w:rsid w:val="00FD2695"/>
    <w:rsid w:val="00FD3B1A"/>
    <w:rsid w:val="00FD59FC"/>
    <w:rsid w:val="00FD6998"/>
    <w:rsid w:val="00FD706D"/>
    <w:rsid w:val="00FE02B0"/>
    <w:rsid w:val="00FE0323"/>
    <w:rsid w:val="00FE053B"/>
    <w:rsid w:val="00FE1150"/>
    <w:rsid w:val="00FE19E2"/>
    <w:rsid w:val="00FE2CC1"/>
    <w:rsid w:val="00FE31AC"/>
    <w:rsid w:val="00FE3509"/>
    <w:rsid w:val="00FE35EF"/>
    <w:rsid w:val="00FE4103"/>
    <w:rsid w:val="00FE48FD"/>
    <w:rsid w:val="00FE4C37"/>
    <w:rsid w:val="00FE5247"/>
    <w:rsid w:val="00FE569D"/>
    <w:rsid w:val="00FE5ACE"/>
    <w:rsid w:val="00FE5D6F"/>
    <w:rsid w:val="00FE704F"/>
    <w:rsid w:val="00FE78DA"/>
    <w:rsid w:val="00FF0D36"/>
    <w:rsid w:val="00FF19F3"/>
    <w:rsid w:val="00FF2F62"/>
    <w:rsid w:val="00FF35C7"/>
    <w:rsid w:val="00FF3C47"/>
    <w:rsid w:val="00FF61B5"/>
    <w:rsid w:val="00FF7D89"/>
    <w:rsid w:val="017D8754"/>
    <w:rsid w:val="0236EFA2"/>
    <w:rsid w:val="08FED6D5"/>
    <w:rsid w:val="09901AD8"/>
    <w:rsid w:val="0AD67565"/>
    <w:rsid w:val="0B455F88"/>
    <w:rsid w:val="0F562C41"/>
    <w:rsid w:val="10CF10C3"/>
    <w:rsid w:val="112F8725"/>
    <w:rsid w:val="16F3954F"/>
    <w:rsid w:val="17A1BF61"/>
    <w:rsid w:val="18825D86"/>
    <w:rsid w:val="1984BF49"/>
    <w:rsid w:val="1A2EAF82"/>
    <w:rsid w:val="1C716308"/>
    <w:rsid w:val="1EDC41B1"/>
    <w:rsid w:val="2698BB86"/>
    <w:rsid w:val="2B4D6423"/>
    <w:rsid w:val="2E9BFF4C"/>
    <w:rsid w:val="35F3B5F6"/>
    <w:rsid w:val="3757D282"/>
    <w:rsid w:val="38758573"/>
    <w:rsid w:val="3D23FAE8"/>
    <w:rsid w:val="3F7E8792"/>
    <w:rsid w:val="496E1BFD"/>
    <w:rsid w:val="4CEB164D"/>
    <w:rsid w:val="4E5DF68D"/>
    <w:rsid w:val="5149BE70"/>
    <w:rsid w:val="524063C6"/>
    <w:rsid w:val="5537E391"/>
    <w:rsid w:val="5ACE12E9"/>
    <w:rsid w:val="5CED0D34"/>
    <w:rsid w:val="5FFE046D"/>
    <w:rsid w:val="602C7D2E"/>
    <w:rsid w:val="64187431"/>
    <w:rsid w:val="66634F82"/>
    <w:rsid w:val="67616247"/>
    <w:rsid w:val="6C05B6C9"/>
    <w:rsid w:val="6C74D06C"/>
    <w:rsid w:val="710AC312"/>
    <w:rsid w:val="71866C09"/>
    <w:rsid w:val="72034D55"/>
    <w:rsid w:val="74121BFB"/>
    <w:rsid w:val="75D8FF0B"/>
    <w:rsid w:val="78BFB5C0"/>
    <w:rsid w:val="7A884FA5"/>
    <w:rsid w:val="7B6C461C"/>
    <w:rsid w:val="7C48959B"/>
    <w:rsid w:val="7CD75B41"/>
    <w:rsid w:val="7D70A8F3"/>
    <w:rsid w:val="7DF683EC"/>
    <w:rsid w:val="7F9009C3"/>
    <w:rsid w:val="7FFB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C2516B"/>
  <w15:docId w15:val="{6DE9988A-83EE-4530-8430-87EB9E0B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E2C9C"/>
    <w:pPr>
      <w:widowControl w:val="0"/>
      <w:spacing w:after="0" w:line="240" w:lineRule="auto"/>
      <w:ind w:left="653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6E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0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E04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957"/>
  </w:style>
  <w:style w:type="paragraph" w:styleId="Footer">
    <w:name w:val="footer"/>
    <w:basedOn w:val="Normal"/>
    <w:link w:val="FooterChar"/>
    <w:uiPriority w:val="99"/>
    <w:unhideWhenUsed/>
    <w:rsid w:val="003E5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957"/>
  </w:style>
  <w:style w:type="paragraph" w:styleId="BodyText">
    <w:name w:val="Body Text"/>
    <w:basedOn w:val="Normal"/>
    <w:link w:val="BodyTextChar"/>
    <w:uiPriority w:val="99"/>
    <w:unhideWhenUsed/>
    <w:rsid w:val="00104433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04433"/>
  </w:style>
  <w:style w:type="character" w:styleId="Hyperlink">
    <w:name w:val="Hyperlink"/>
    <w:basedOn w:val="DefaultParagraphFont"/>
    <w:uiPriority w:val="99"/>
    <w:unhideWhenUsed/>
    <w:rsid w:val="0011465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C4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3439"/>
    <w:rPr>
      <w:color w:val="605E5C"/>
      <w:shd w:val="clear" w:color="auto" w:fill="E1DFDD"/>
    </w:rPr>
  </w:style>
  <w:style w:type="paragraph" w:customStyle="1" w:styleId="Default">
    <w:name w:val="Default"/>
    <w:link w:val="DefaultChar"/>
    <w:rsid w:val="004F27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8E2EEE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17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7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7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7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7111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271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71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71CB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0A4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51DF8"/>
  </w:style>
  <w:style w:type="character" w:styleId="FollowedHyperlink">
    <w:name w:val="FollowedHyperlink"/>
    <w:basedOn w:val="DefaultParagraphFont"/>
    <w:uiPriority w:val="99"/>
    <w:semiHidden/>
    <w:unhideWhenUsed/>
    <w:rsid w:val="006313E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B43A4"/>
    <w:pPr>
      <w:spacing w:after="0" w:line="240" w:lineRule="auto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C7534"/>
    <w:rPr>
      <w:color w:val="605E5C"/>
      <w:shd w:val="clear" w:color="auto" w:fill="E1DFDD"/>
    </w:rPr>
  </w:style>
  <w:style w:type="character" w:customStyle="1" w:styleId="DefaultChar">
    <w:name w:val="Default Char"/>
    <w:basedOn w:val="DefaultParagraphFont"/>
    <w:link w:val="Default"/>
    <w:rsid w:val="00F77608"/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D67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2C9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7">
    <w:name w:val="A7"/>
    <w:uiPriority w:val="99"/>
    <w:rsid w:val="0084748F"/>
    <w:rPr>
      <w:rFonts w:cs="ITC Avant Garde Pro Md"/>
      <w:color w:val="211D1E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113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0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3299E"/>
  </w:style>
  <w:style w:type="character" w:styleId="Strong">
    <w:name w:val="Strong"/>
    <w:basedOn w:val="DefaultParagraphFont"/>
    <w:uiPriority w:val="22"/>
    <w:qFormat/>
    <w:rsid w:val="00D234F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6E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mailto:pugh.mark@deq.state.or.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zoller@clackamas.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mailto:liz@downtownoregoncity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iles.constantcontact.com/44700fc4601/68d86e15-6858-4790-905c-77503a20f845.pdf?rdr=true_gl=1*1wh99x0*_gcl_au*MTkyNjQxOTQ4OS4xNzQ3MjcwMDgx*_ga*MWQyZmNhMDYtMTdjYy00ZDM4LTk1Y2QtMmFhNGE1MWUyMzE1*_ga_14T5LGLSQ3*czE3NDcyNzAwODEkbzEkZzEkdDE3NDcyNzE0ODgkajMkbDAkaDA." TargetMode="External"/><Relationship Id="rId7" Type="http://schemas.openxmlformats.org/officeDocument/2006/relationships/hyperlink" Target="https://www.atsdr.cdc.gov/place-health/php/eji/eji-explorer.html" TargetMode="External"/><Relationship Id="rId2" Type="http://schemas.openxmlformats.org/officeDocument/2006/relationships/hyperlink" Target="https://www.clackamas.us/news/2025-08-21/cooling-centers-open-throughout-clackamas-county" TargetMode="External"/><Relationship Id="rId1" Type="http://schemas.openxmlformats.org/officeDocument/2006/relationships/hyperlink" Target="https://www.journals.uchicago.edu/doi/abs/10.1086/689743?journalCode=jaere" TargetMode="External"/><Relationship Id="rId6" Type="http://schemas.openxmlformats.org/officeDocument/2006/relationships/hyperlink" Target="https://app.powerbigov.us/view?r=eyJrIjoiM2RiNGE5YmItMjQwNC00Nzc4LTkxNTgtNjNlYzJlZmUzMjQyIiwidCI6IjY1OGU2M2U4LThkMzktNDk5Yy04ZjQ4LTEzYWRjOTQ1MmY0YyJ9" TargetMode="External"/><Relationship Id="rId5" Type="http://schemas.openxmlformats.org/officeDocument/2006/relationships/hyperlink" Target="https://statecancerprofiles.cancer.gov/incidencerates/index.php?stateFIPS=41&amp;areatype=county&amp;cancer=001&amp;race=00&amp;sex=0&amp;age=157&amp;type=incd&amp;sortVariableName=rate&amp;sortOrder=default&amp;output=0" TargetMode="External"/><Relationship Id="rId4" Type="http://schemas.openxmlformats.org/officeDocument/2006/relationships/hyperlink" Target="https://dochub.clackamas.us/documents/drupal/aeb4ac5f-71a0-42cb-be78-65776a97be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8520855EDFE4A905ED50860240B4D" ma:contentTypeVersion="21" ma:contentTypeDescription="Create a new document." ma:contentTypeScope="" ma:versionID="39d3f20a392a6082147b26af3eaa3a4c">
  <xsd:schema xmlns:xsd="http://www.w3.org/2001/XMLSchema" xmlns:xs="http://www.w3.org/2001/XMLSchema" xmlns:p="http://schemas.microsoft.com/office/2006/metadata/properties" xmlns:ns2="86fb4504-858e-448e-8f24-b77e435ba788" xmlns:ns3="35ef8048-214a-4796-9afe-7c9b39231a88" targetNamespace="http://schemas.microsoft.com/office/2006/metadata/properties" ma:root="true" ma:fieldsID="a45ac20b1c9b284b78a216cf9c6d94f4" ns2:_="" ns3:_="">
    <xsd:import namespace="86fb4504-858e-448e-8f24-b77e435ba788"/>
    <xsd:import namespace="35ef8048-214a-4796-9afe-7c9b39231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DateandTime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b4504-858e-448e-8f24-b77e435ba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207be7-fb2c-4f25-b21b-ed1f2a5b3b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andTime" ma:index="25" nillable="true" ma:displayName="Date and Time" ma:format="DateOnly" ma:internalName="DateandTime">
      <xsd:simpleType>
        <xsd:restriction base="dms:DateTim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f8048-214a-4796-9afe-7c9b39231a8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8713b8-f522-423c-885d-576ed1da47ca}" ma:internalName="TaxCatchAll" ma:showField="CatchAllData" ma:web="35ef8048-214a-4796-9afe-7c9b39231a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ef8048-214a-4796-9afe-7c9b39231a88" xsi:nil="true"/>
    <DateandTime xmlns="86fb4504-858e-448e-8f24-b77e435ba788" xsi:nil="true"/>
    <lcf76f155ced4ddcb4097134ff3c332f xmlns="86fb4504-858e-448e-8f24-b77e435ba788">
      <Terms xmlns="http://schemas.microsoft.com/office/infopath/2007/PartnerControls"/>
    </lcf76f155ced4ddcb4097134ff3c332f>
    <Notes xmlns="86fb4504-858e-448e-8f24-b77e435ba7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82470-4268-4B24-AD20-C26928C0DA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C5213B-1800-4D26-B830-6A33E686F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b4504-858e-448e-8f24-b77e435ba788"/>
    <ds:schemaRef ds:uri="35ef8048-214a-4796-9afe-7c9b3923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585359-EB3F-47E6-BD7C-5F4C02341707}">
  <ds:schemaRefs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86fb4504-858e-448e-8f24-b77e435ba788"/>
    <ds:schemaRef ds:uri="35ef8048-214a-4796-9afe-7c9b39231a88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F1C9CFC-50F5-4CBB-B7E9-C4A42E4183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13c6f2c-219a-4692-97d3-f2b4d80281e7}" enabled="0" method="" siteId="{413c6f2c-219a-4692-97d3-f2b4d80281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5819</Words>
  <Characters>32006</Characters>
  <Application>Microsoft Office Word</Application>
  <DocSecurity>0</DocSecurity>
  <Lines>615</Lines>
  <Paragraphs>278</Paragraphs>
  <ScaleCrop>false</ScaleCrop>
  <Company/>
  <LinksUpToDate>false</LinksUpToDate>
  <CharactersWithSpaces>37547</CharactersWithSpaces>
  <SharedDoc>false</SharedDoc>
  <HLinks>
    <vt:vector size="78" baseType="variant">
      <vt:variant>
        <vt:i4>65642</vt:i4>
      </vt:variant>
      <vt:variant>
        <vt:i4>15</vt:i4>
      </vt:variant>
      <vt:variant>
        <vt:i4>0</vt:i4>
      </vt:variant>
      <vt:variant>
        <vt:i4>5</vt:i4>
      </vt:variant>
      <vt:variant>
        <vt:lpwstr>mailto:pugh.mark@deq.state.or.us</vt:lpwstr>
      </vt:variant>
      <vt:variant>
        <vt:lpwstr/>
      </vt:variant>
      <vt:variant>
        <vt:i4>1835048</vt:i4>
      </vt:variant>
      <vt:variant>
        <vt:i4>12</vt:i4>
      </vt:variant>
      <vt:variant>
        <vt:i4>0</vt:i4>
      </vt:variant>
      <vt:variant>
        <vt:i4>5</vt:i4>
      </vt:variant>
      <vt:variant>
        <vt:lpwstr>mailto:travis@willametteriverkeeper.org</vt:lpwstr>
      </vt:variant>
      <vt:variant>
        <vt:lpwstr/>
      </vt:variant>
      <vt:variant>
        <vt:i4>2228300</vt:i4>
      </vt:variant>
      <vt:variant>
        <vt:i4>9</vt:i4>
      </vt:variant>
      <vt:variant>
        <vt:i4>0</vt:i4>
      </vt:variant>
      <vt:variant>
        <vt:i4>5</vt:i4>
      </vt:variant>
      <vt:variant>
        <vt:lpwstr>mailto:Courtney.fultineer@dhsoha.state.or.us</vt:lpwstr>
      </vt:variant>
      <vt:variant>
        <vt:lpwstr/>
      </vt:variant>
      <vt:variant>
        <vt:i4>7602264</vt:i4>
      </vt:variant>
      <vt:variant>
        <vt:i4>6</vt:i4>
      </vt:variant>
      <vt:variant>
        <vt:i4>0</vt:i4>
      </vt:variant>
      <vt:variant>
        <vt:i4>5</vt:i4>
      </vt:variant>
      <vt:variant>
        <vt:lpwstr>mailto:ezoller@clackamas.us</vt:lpwstr>
      </vt:variant>
      <vt:variant>
        <vt:lpwstr/>
      </vt:variant>
      <vt:variant>
        <vt:i4>4849767</vt:i4>
      </vt:variant>
      <vt:variant>
        <vt:i4>3</vt:i4>
      </vt:variant>
      <vt:variant>
        <vt:i4>0</vt:i4>
      </vt:variant>
      <vt:variant>
        <vt:i4>5</vt:i4>
      </vt:variant>
      <vt:variant>
        <vt:lpwstr>mailto:liz@downtownoregoncity.org</vt:lpwstr>
      </vt:variant>
      <vt:variant>
        <vt:lpwstr/>
      </vt:variant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mailto:crobertson@orcity.org</vt:lpwstr>
      </vt:variant>
      <vt:variant>
        <vt:lpwstr/>
      </vt:variant>
      <vt:variant>
        <vt:i4>1441859</vt:i4>
      </vt:variant>
      <vt:variant>
        <vt:i4>18</vt:i4>
      </vt:variant>
      <vt:variant>
        <vt:i4>0</vt:i4>
      </vt:variant>
      <vt:variant>
        <vt:i4>5</vt:i4>
      </vt:variant>
      <vt:variant>
        <vt:lpwstr>https://www.atsdr.cdc.gov/place-health/php/eji/eji-explorer.html</vt:lpwstr>
      </vt:variant>
      <vt:variant>
        <vt:lpwstr/>
      </vt:variant>
      <vt:variant>
        <vt:i4>1245202</vt:i4>
      </vt:variant>
      <vt:variant>
        <vt:i4>15</vt:i4>
      </vt:variant>
      <vt:variant>
        <vt:i4>0</vt:i4>
      </vt:variant>
      <vt:variant>
        <vt:i4>5</vt:i4>
      </vt:variant>
      <vt:variant>
        <vt:lpwstr>https://app.powerbigov.us/view?r=eyJrIjoiM2RiNGE5YmItMjQwNC00Nzc4LTkxNTgtNjNlYzJlZmUzMjQyIiwidCI6IjY1OGU2M2U4LThkMzktNDk5Yy04ZjQ4LTEzYWRjOTQ1MmY0YyJ9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https://statecancerprofiles.cancer.gov/incidencerates/index.php?stateFIPS=41&amp;areatype=county&amp;cancer=001&amp;race=00&amp;sex=0&amp;age=157&amp;type=incd&amp;sortVariableName=rate&amp;sortOrder=default&amp;output=0</vt:lpwstr>
      </vt:variant>
      <vt:variant>
        <vt:lpwstr>results</vt:lpwstr>
      </vt:variant>
      <vt:variant>
        <vt:i4>1048656</vt:i4>
      </vt:variant>
      <vt:variant>
        <vt:i4>9</vt:i4>
      </vt:variant>
      <vt:variant>
        <vt:i4>0</vt:i4>
      </vt:variant>
      <vt:variant>
        <vt:i4>5</vt:i4>
      </vt:variant>
      <vt:variant>
        <vt:lpwstr>https://dochub.clackamas.us/documents/drupal/aeb4ac5f-71a0-42cb-be78-65776a97be33</vt:lpwstr>
      </vt:variant>
      <vt:variant>
        <vt:lpwstr/>
      </vt:variant>
      <vt:variant>
        <vt:i4>6619257</vt:i4>
      </vt:variant>
      <vt:variant>
        <vt:i4>6</vt:i4>
      </vt:variant>
      <vt:variant>
        <vt:i4>0</vt:i4>
      </vt:variant>
      <vt:variant>
        <vt:i4>5</vt:i4>
      </vt:variant>
      <vt:variant>
        <vt:lpwstr>https://files.constantcontact.com/44700fc4601/68d86e15-6858-4790-905c-77503a20f845.pdf?rdr=true_gl=1*1wh99x0*_gcl_au*MTkyNjQxOTQ4OS4xNzQ3MjcwMDgx*_ga*MWQyZmNhMDYtMTdjYy00ZDM4LTk1Y2QtMmFhNGE1MWUyMzE1*_ga_14T5LGLSQ3*czE3NDcyNzAwODEkbzEkZzEkdDE3NDcyNzE0ODgkajMkbDAkaDA.</vt:lpwstr>
      </vt:variant>
      <vt:variant>
        <vt:lpwstr/>
      </vt:variant>
      <vt:variant>
        <vt:i4>5767244</vt:i4>
      </vt:variant>
      <vt:variant>
        <vt:i4>3</vt:i4>
      </vt:variant>
      <vt:variant>
        <vt:i4>0</vt:i4>
      </vt:variant>
      <vt:variant>
        <vt:i4>5</vt:i4>
      </vt:variant>
      <vt:variant>
        <vt:lpwstr>https://www.clackamas.us/news/2025-08-21/cooling-centers-open-throughout-clackamas-county</vt:lpwstr>
      </vt:variant>
      <vt:variant>
        <vt:lpwstr>:~:text=OREGON%20CITY%2C%20Or.,.clackamas.us/relief.</vt:lpwstr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https://www.journals.uchicago.edu/doi/abs/10.1086/689743?journalCode=jaere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Holmes, David</dc:creator>
  <cp:keywords/>
  <dc:description/>
  <cp:lastModifiedBy>Farr, Leonard</cp:lastModifiedBy>
  <cp:revision>2</cp:revision>
  <cp:lastPrinted>2020-10-28T15:53:00Z</cp:lastPrinted>
  <dcterms:created xsi:type="dcterms:W3CDTF">2026-01-08T23:12:00Z</dcterms:created>
  <dcterms:modified xsi:type="dcterms:W3CDTF">2026-01-08T23:12:00Z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0x0101003368520855EDFE4A905ED50860240B4D</vt:lpwstr>
  </property>
  <property fmtid="{D5CDD505-2E9C-101B-9397-08002B2CF9AE}" pid="3" name="MediaServiceImageTags">
    <vt:lpwstr/>
  </property>
</Properties>
</file>